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left="5103"/>
        <w:jc w:val="right"/>
        <w:rPr>
          <w:sz w:val="22"/>
          <w:szCs w:val="22"/>
        </w:rPr>
      </w:pPr>
      <w:r>
        <w:rPr>
          <w:sz w:val="22"/>
          <w:szCs w:val="22"/>
        </w:rPr>
        <w:t xml:space="preserve">Приложение № 1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left="5103"/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              </w:t>
      </w:r>
      <w:r>
        <w:rPr>
          <w:sz w:val="22"/>
          <w:szCs w:val="22"/>
        </w:rPr>
        <w:t xml:space="preserve">к </w:t>
      </w:r>
      <w:r>
        <w:rPr>
          <w:sz w:val="22"/>
          <w:szCs w:val="22"/>
        </w:rPr>
        <w:t xml:space="preserve">Техническим требованиям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right"/>
        <w:rPr>
          <w:rFonts w:ascii="Liberation Serif" w:hAnsi="Liberation Serif" w:eastAsia="Liberation Serif" w:cs="Liberation Serif"/>
          <w:b w:val="0"/>
          <w:bCs w:val="0"/>
          <w:sz w:val="24"/>
          <w:szCs w:val="24"/>
          <w:highlight w:val="none"/>
        </w:rPr>
      </w:pPr>
      <w:r>
        <w:rPr>
          <w:rFonts w:ascii="Liberation Serif" w:hAnsi="Liberation Serif" w:eastAsia="Liberation Serif" w:cs="Liberation Serif"/>
          <w:b w:val="0"/>
          <w:bCs w:val="0"/>
          <w:sz w:val="24"/>
          <w:szCs w:val="22"/>
          <w:highlight w:val="none"/>
        </w:rPr>
      </w:r>
      <w:r>
        <w:rPr>
          <w:rFonts w:ascii="Liberation Serif" w:hAnsi="Liberation Serif" w:eastAsia="Liberation Serif" w:cs="Liberation Serif"/>
          <w:b w:val="0"/>
          <w:bCs w:val="0"/>
          <w:sz w:val="24"/>
          <w:szCs w:val="24"/>
          <w:highlight w:val="none"/>
        </w:rPr>
      </w:r>
      <w:r>
        <w:rPr>
          <w:rFonts w:ascii="Liberation Serif" w:hAnsi="Liberation Serif" w:eastAsia="Liberation Serif" w:cs="Liberation Serif"/>
          <w:b w:val="0"/>
          <w:bCs w:val="0"/>
          <w:sz w:val="24"/>
          <w:szCs w:val="24"/>
          <w:highlight w:val="none"/>
        </w:rPr>
      </w:r>
    </w:p>
    <w:p>
      <w:pPr>
        <w:rPr>
          <w:rFonts w:ascii="Liberation Serif" w:hAnsi="Liberation Serif" w:eastAsia="Liberation Serif" w:cs="Liberation Serif"/>
          <w:b/>
          <w:sz w:val="24"/>
          <w:szCs w:val="22"/>
        </w:rPr>
      </w:pPr>
      <w:r>
        <w:rPr>
          <w:rFonts w:ascii="Liberation Serif" w:hAnsi="Liberation Serif" w:eastAsia="Liberation Serif" w:cs="Liberation Serif"/>
          <w:b/>
          <w:sz w:val="24"/>
          <w:szCs w:val="22"/>
        </w:rPr>
      </w:r>
      <w:r>
        <w:rPr>
          <w:rFonts w:ascii="Liberation Serif" w:hAnsi="Liberation Serif" w:eastAsia="Liberation Serif" w:cs="Liberation Serif"/>
          <w:b/>
          <w:sz w:val="24"/>
          <w:szCs w:val="22"/>
        </w:rPr>
      </w:r>
      <w:r>
        <w:rPr>
          <w:rFonts w:ascii="Liberation Serif" w:hAnsi="Liberation Serif" w:eastAsia="Liberation Serif" w:cs="Liberation Serif"/>
          <w:b/>
          <w:sz w:val="24"/>
          <w:szCs w:val="22"/>
        </w:rPr>
      </w:r>
    </w:p>
    <w:p>
      <w:pPr>
        <w:rPr>
          <w:rFonts w:ascii="Liberation Serif" w:hAnsi="Liberation Serif" w:eastAsia="Liberation Serif" w:cs="Liberation Serif"/>
          <w:b/>
          <w:sz w:val="24"/>
          <w:szCs w:val="22"/>
        </w:rPr>
      </w:pPr>
      <w:r>
        <w:rPr>
          <w:rFonts w:ascii="Liberation Serif" w:hAnsi="Liberation Serif" w:eastAsia="Liberation Serif" w:cs="Liberation Serif"/>
          <w:b/>
          <w:sz w:val="24"/>
          <w:szCs w:val="22"/>
        </w:rPr>
      </w:r>
      <w:r>
        <w:rPr>
          <w:rFonts w:ascii="Liberation Serif" w:hAnsi="Liberation Serif" w:eastAsia="Liberation Serif" w:cs="Liberation Serif"/>
          <w:b/>
          <w:sz w:val="24"/>
          <w:szCs w:val="22"/>
        </w:rPr>
      </w:r>
      <w:r>
        <w:rPr>
          <w:rFonts w:ascii="Liberation Serif" w:hAnsi="Liberation Serif" w:eastAsia="Liberation Serif" w:cs="Liberation Serif"/>
          <w:b/>
          <w:sz w:val="24"/>
          <w:szCs w:val="22"/>
        </w:rPr>
      </w:r>
    </w:p>
    <w:p>
      <w:pPr>
        <w:pStyle w:val="816"/>
        <w:numPr>
          <w:ilvl w:val="0"/>
          <w:numId w:val="0"/>
        </w:numPr>
        <w:jc w:val="center"/>
        <w:rPr>
          <w:rFonts w:ascii="Liberation Serif" w:hAnsi="Liberation Serif" w:eastAsia="Liberation Serif" w:cs="Liberation Serif"/>
          <w:b/>
          <w:sz w:val="24"/>
          <w:szCs w:val="22"/>
        </w:rPr>
      </w:pPr>
      <w:r>
        <w:rPr>
          <w:rFonts w:ascii="Liberation Serif" w:hAnsi="Liberation Serif" w:eastAsia="Liberation Serif" w:cs="Liberation Serif"/>
          <w:b/>
          <w:sz w:val="24"/>
          <w:szCs w:val="22"/>
        </w:rPr>
        <w:t xml:space="preserve">Задание на проектирование</w:t>
      </w:r>
      <w:r>
        <w:rPr>
          <w:rFonts w:ascii="Liberation Serif" w:hAnsi="Liberation Serif" w:eastAsia="Liberation Serif" w:cs="Liberation Serif"/>
          <w:b/>
          <w:sz w:val="24"/>
          <w:szCs w:val="22"/>
        </w:rPr>
      </w:r>
      <w:r>
        <w:rPr>
          <w:rFonts w:ascii="Liberation Serif" w:hAnsi="Liberation Serif" w:eastAsia="Liberation Serif" w:cs="Liberation Serif"/>
          <w:b/>
          <w:sz w:val="24"/>
          <w:szCs w:val="22"/>
        </w:rPr>
      </w:r>
    </w:p>
    <w:p>
      <w:r/>
      <w:r/>
    </w:p>
    <w:p>
      <w:pPr>
        <w:jc w:val="center"/>
        <w:widowControl w:val="off"/>
        <w:rPr>
          <w:rFonts w:ascii="Times New Roman" w:hAnsi="Times New Roman" w:cs="Times New Roman"/>
          <w:color w:val="ff0000"/>
          <w:sz w:val="24"/>
          <w:szCs w:val="28"/>
        </w:rPr>
      </w:pPr>
      <w:r>
        <w:rPr>
          <w:rFonts w:ascii="Times New Roman" w:hAnsi="Times New Roman" w:cs="Times New Roman"/>
          <w:bCs/>
          <w:sz w:val="24"/>
        </w:rPr>
      </w:r>
      <w:r>
        <w:rPr>
          <w:rFonts w:ascii="Times New Roman" w:hAnsi="Times New Roman" w:cs="Times New Roman"/>
          <w:bCs/>
          <w:sz w:val="24"/>
        </w:rPr>
        <w:t xml:space="preserve">Выполнение проектно-изыскательских работ по реконструкции участка т/м №2 Северного планировочного района, от УТ-12АС до ТК13С, с заменой трубопроводов с Ду500мм на Ду700мм, в рамках выполнения инвестиционного проекта N_505-АГ-110ис в г. Благ</w:t>
      </w:r>
      <w:r>
        <w:rPr>
          <w:rFonts w:ascii="Times New Roman" w:hAnsi="Times New Roman" w:cs="Times New Roman"/>
          <w:bCs/>
          <w:sz w:val="24"/>
        </w:rPr>
        <w:t xml:space="preserve">овещенске</w:t>
      </w:r>
      <w:r>
        <w:rPr>
          <w:rFonts w:ascii="Times New Roman" w:hAnsi="Times New Roman" w:cs="Times New Roman"/>
          <w:color w:val="ff0000"/>
          <w:sz w:val="24"/>
          <w:szCs w:val="28"/>
        </w:rPr>
      </w:r>
      <w:r>
        <w:rPr>
          <w:rFonts w:ascii="Times New Roman" w:hAnsi="Times New Roman" w:cs="Times New Roman"/>
          <w:color w:val="ff0000"/>
          <w:sz w:val="24"/>
          <w:szCs w:val="28"/>
        </w:rPr>
      </w:r>
    </w:p>
    <w:p>
      <w:pPr>
        <w:jc w:val="center"/>
        <w:tabs>
          <w:tab w:val="left" w:pos="2431" w:leader="none"/>
        </w:tabs>
      </w:pPr>
      <w:r/>
      <w:r/>
    </w:p>
    <w:tbl>
      <w:tblPr>
        <w:tblW w:w="21141" w:type="dxa"/>
        <w:tblInd w:w="-15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0"/>
        <w:gridCol w:w="3341"/>
        <w:gridCol w:w="6440"/>
        <w:gridCol w:w="57"/>
        <w:gridCol w:w="57"/>
        <w:gridCol w:w="10401"/>
        <w:gridCol w:w="57"/>
        <w:gridCol w:w="58"/>
      </w:tblGrid>
      <w:tr>
        <w:tblPrEx/>
        <w:trPr>
          <w:trHeight w:val="49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ind w:left="113" w:right="113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№ п/п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Наименование раздела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42" w:right="158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Содержание раздела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8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numPr>
                <w:ilvl w:val="0"/>
                <w:numId w:val="45"/>
              </w:numPr>
              <w:spacing w:line="324" w:lineRule="auto"/>
              <w:tabs>
                <w:tab w:val="left" w:pos="591" w:leader="none"/>
              </w:tabs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sz w:val="24"/>
                <w:szCs w:val="24"/>
              </w:rPr>
              <w:t xml:space="preserve">Цель работы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pStyle w:val="1027"/>
              <w:ind w:left="142" w:right="158" w:firstLine="301"/>
              <w:jc w:val="both"/>
              <w:spacing w:line="276" w:lineRule="auto"/>
              <w:tabs>
                <w:tab w:val="left" w:pos="109" w:leader="none"/>
              </w:tabs>
              <w:rPr>
                <w:rFonts w:eastAsia="Liberation Serif"/>
                <w:sz w:val="24"/>
                <w:szCs w:val="24"/>
                <w:highlight w:val="white"/>
              </w:rPr>
            </w:pPr>
            <w:r>
              <w:rPr>
                <w:rFonts w:eastAsia="Calibri"/>
                <w:sz w:val="24"/>
                <w:szCs w:val="24"/>
                <w:highlight w:val="white"/>
              </w:rPr>
              <w:t xml:space="preserve">Увеличение пропускной </w:t>
            </w:r>
            <w:r>
              <w:rPr>
                <w:rFonts w:eastAsia="Calibri"/>
                <w:sz w:val="24"/>
                <w:szCs w:val="24"/>
                <w:highlight w:val="white"/>
              </w:rPr>
              <w:t xml:space="preserve">способности трубопроводов т/м №2 Северного </w:t>
            </w:r>
            <w:r>
              <w:rPr>
                <w:rFonts w:eastAsia="Calibri"/>
                <w:sz w:val="24"/>
                <w:szCs w:val="24"/>
                <w:highlight w:val="white"/>
              </w:rPr>
              <w:t xml:space="preserve">района и расширения зоны теплоснабжения Благовещенской ТЭЦ для обеспечения возможности подключения новых потребител</w:t>
            </w:r>
            <w:r>
              <w:rPr>
                <w:rFonts w:eastAsia="Calibri"/>
                <w:sz w:val="24"/>
                <w:szCs w:val="24"/>
                <w:highlight w:val="white"/>
              </w:rPr>
              <w:t xml:space="preserve">ей перспективного строительства; </w:t>
            </w:r>
            <w:r>
              <w:rPr>
                <w:rFonts w:eastAsia="Calibri"/>
                <w:sz w:val="24"/>
                <w:szCs w:val="24"/>
                <w:highlight w:val="white"/>
              </w:rPr>
              <w:t xml:space="preserve">снижение гидравлических и тепловых потерь для обеспечения требуемого качества теплоснабжения в соответствии с ПП РФ 808 от 08.08.2012 «Об организации теплоснабжения</w:t>
            </w:r>
            <w:r>
              <w:rPr>
                <w:rFonts w:eastAsia="Calibri"/>
                <w:sz w:val="24"/>
                <w:szCs w:val="24"/>
                <w:highlight w:val="white"/>
              </w:rPr>
              <w:t xml:space="preserve">». </w:t>
            </w:r>
            <w:r>
              <w:rPr>
                <w:rFonts w:eastAsia="Liberation Serif"/>
                <w:sz w:val="24"/>
                <w:szCs w:val="24"/>
                <w:highlight w:val="white"/>
              </w:rPr>
            </w:r>
            <w:r>
              <w:rPr>
                <w:rFonts w:eastAsia="Liberation Serif"/>
                <w:sz w:val="24"/>
                <w:szCs w:val="24"/>
                <w:highlight w:val="white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numPr>
                <w:ilvl w:val="0"/>
                <w:numId w:val="45"/>
              </w:numPr>
              <w:ind w:left="0" w:firstLine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13" w:right="0" w:firstLine="0"/>
              <w:spacing w:after="0" w:line="57" w:lineRule="atLeast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Этапность проектирования</w:t>
            </w:r>
            <w:r/>
          </w:p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pStyle w:val="837"/>
              <w:numPr>
                <w:ilvl w:val="0"/>
                <w:numId w:val="63"/>
              </w:numPr>
              <w:ind w:left="709" w:right="227" w:hanging="360"/>
              <w:jc w:val="left"/>
              <w:spacing w:line="324" w:lineRule="auto"/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highlight w:val="white"/>
              </w:rPr>
              <w:t xml:space="preserve">Инженерные изыскания.</w:t>
            </w:r>
            <w:r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r>
            <w:r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r>
          </w:p>
          <w:p>
            <w:pPr>
              <w:pStyle w:val="837"/>
              <w:numPr>
                <w:ilvl w:val="0"/>
                <w:numId w:val="63"/>
              </w:numPr>
              <w:ind w:left="709" w:right="227" w:hanging="360"/>
              <w:jc w:val="left"/>
              <w:spacing w:line="324" w:lineRule="auto"/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highlight w:val="white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Разработка проектной документации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в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т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.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ч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.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с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м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е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т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н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о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й.</w:t>
            </w:r>
            <w:r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r>
            <w:r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r>
          </w:p>
          <w:p>
            <w:pPr>
              <w:pStyle w:val="815"/>
              <w:ind w:left="159" w:right="227" w:firstLine="0"/>
              <w:jc w:val="left"/>
              <w:spacing w:line="276" w:lineRule="auto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  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3.   Прохождение негосударственной экспертизы проектной документации и результатов инженерных изысканий, с получением положительного заключения.</w:t>
            </w:r>
            <w:r>
              <w:rPr>
                <w:rFonts w:ascii="Times New Roman" w:hAnsi="Times New Roman" w:cs="Times New Roman"/>
                <w:highlight w:val="white"/>
              </w:rPr>
            </w:r>
            <w:r>
              <w:rPr>
                <w:rFonts w:ascii="Times New Roman" w:hAnsi="Times New Roman" w:cs="Times New Roman"/>
                <w:highlight w:val="white"/>
              </w:rPr>
            </w:r>
          </w:p>
          <w:p>
            <w:pPr>
              <w:pStyle w:val="815"/>
              <w:ind w:left="159" w:right="227" w:firstLine="0"/>
              <w:jc w:val="left"/>
              <w:spacing w:line="65" w:lineRule="atLeast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  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white"/>
              </w:rPr>
              <w:t xml:space="preserve">4.   Разработка рабочей документации.</w:t>
            </w:r>
            <w:r>
              <w:rPr>
                <w:rFonts w:ascii="Times New Roman" w:hAnsi="Times New Roman" w:cs="Times New Roman"/>
                <w:highlight w:val="white"/>
              </w:rPr>
            </w:r>
            <w:r>
              <w:rPr>
                <w:rFonts w:ascii="Times New Roman" w:hAnsi="Times New Roman" w:cs="Times New Roman"/>
                <w:highlight w:val="white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numPr>
                <w:ilvl w:val="0"/>
                <w:numId w:val="45"/>
              </w:numPr>
              <w:ind w:left="0" w:firstLine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Район строительства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59" w:right="158" w:firstLine="284"/>
              <w:jc w:val="both"/>
              <w:spacing w:line="276" w:lineRule="auto"/>
              <w:rPr>
                <w:rFonts w:eastAsia="Liberation Serif"/>
                <w:sz w:val="24"/>
                <w:szCs w:val="24"/>
                <w:highlight w:val="white"/>
              </w:rPr>
            </w:pPr>
            <w:r>
              <w:rPr>
                <w:rFonts w:eastAsia="Liberation Serif"/>
                <w:sz w:val="24"/>
                <w:szCs w:val="24"/>
                <w:highlight w:val="white"/>
              </w:rPr>
              <w:t xml:space="preserve">Амурская область, г. Благовещенск, ул. Текстильная, между ул. Пионерская и ул.50лет Октября. </w:t>
            </w:r>
            <w:r>
              <w:rPr>
                <w:rFonts w:eastAsia="Liberation Serif"/>
                <w:sz w:val="24"/>
                <w:szCs w:val="24"/>
                <w:highlight w:val="white"/>
              </w:rPr>
              <w:t xml:space="preserve">Земельный участок кадастровый номер </w:t>
            </w:r>
            <w:r>
              <w:rPr>
                <w:rFonts w:eastAsia="Liberation Serif"/>
                <w:color w:val="000000"/>
                <w:sz w:val="24"/>
                <w:szCs w:val="24"/>
                <w:highlight w:val="white"/>
              </w:rPr>
              <w:t xml:space="preserve">28:01:000000:384</w:t>
            </w:r>
            <w:r>
              <w:rPr>
                <w:rFonts w:eastAsia="Liberation Serif"/>
                <w:sz w:val="24"/>
                <w:szCs w:val="24"/>
                <w:highlight w:val="white"/>
              </w:rPr>
              <w:t xml:space="preserve">. Земельный участок находится в аренде АО «ДГК».</w:t>
            </w:r>
            <w:r>
              <w:rPr>
                <w:rFonts w:eastAsia="Liberation Serif"/>
                <w:sz w:val="24"/>
                <w:szCs w:val="24"/>
                <w:highlight w:val="white"/>
              </w:rPr>
            </w:r>
            <w:r>
              <w:rPr>
                <w:rFonts w:eastAsia="Liberation Serif"/>
                <w:sz w:val="24"/>
                <w:szCs w:val="24"/>
                <w:highlight w:val="white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numPr>
                <w:ilvl w:val="0"/>
                <w:numId w:val="45"/>
              </w:numPr>
              <w:ind w:left="0" w:firstLine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Основание для разработки проекта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42" w:right="158" w:firstLine="0"/>
              <w:jc w:val="both"/>
              <w:spacing w:line="324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Инвестиционная п</w:t>
            </w:r>
            <w:r>
              <w:rPr>
                <w:rFonts w:eastAsia="Liberation Serif"/>
                <w:sz w:val="24"/>
                <w:szCs w:val="24"/>
              </w:rPr>
              <w:t xml:space="preserve">рограмма АО «ДГК» на 2026 – 2031 </w:t>
            </w:r>
            <w:r>
              <w:rPr>
                <w:rFonts w:eastAsia="Liberation Serif"/>
                <w:sz w:val="24"/>
                <w:szCs w:val="24"/>
              </w:rPr>
              <w:t xml:space="preserve">гг</w:t>
            </w:r>
            <w:r>
              <w:rPr>
                <w:rFonts w:eastAsia="Liberation Serif"/>
                <w:sz w:val="24"/>
                <w:szCs w:val="24"/>
              </w:rPr>
              <w:t xml:space="preserve">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numPr>
                <w:ilvl w:val="0"/>
                <w:numId w:val="45"/>
              </w:numPr>
              <w:ind w:left="0" w:firstLine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230" w:right="408"/>
              <w:spacing w:line="276" w:lineRule="auto"/>
            </w:pPr>
            <w:r>
              <w:rPr>
                <w:sz w:val="24"/>
              </w:rPr>
              <w:t xml:space="preserve">Основные требования к применяем</w:t>
            </w:r>
            <w:r>
              <w:rPr>
                <w:sz w:val="24"/>
              </w:rPr>
              <w:t xml:space="preserve">ым материалам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textDirection w:val="lrTb"/>
            <w:noWrap w:val="false"/>
          </w:tcPr>
          <w:p>
            <w:pPr>
              <w:ind w:left="159" w:right="137" w:firstLine="284"/>
              <w:jc w:val="both"/>
              <w:spacing w:line="276" w:lineRule="auto"/>
              <w:tabs>
                <w:tab w:val="left" w:pos="382" w:leader="none"/>
              </w:tabs>
              <w:rPr>
                <w:sz w:val="24"/>
              </w:rPr>
            </w:pPr>
            <w:r>
              <w:rPr>
                <w:sz w:val="24"/>
              </w:rPr>
              <w:t xml:space="preserve">1. Применяемые в проектных решениях изделия, и материалы должны соот</w:t>
            </w:r>
            <w:r>
              <w:rPr>
                <w:sz w:val="24"/>
              </w:rPr>
              <w:t xml:space="preserve">ветствовать государственным стандартам, иметь соответствующие сертификаты (в том числе на продукцию, подлежащую обязательной сертификации), технические паспорта и другие документы, удостоверяющие их качество и применимость для данных условий эксплуатации. </w:t>
            </w:r>
            <w:r>
              <w:rPr>
                <w:sz w:val="24"/>
              </w:rPr>
            </w:r>
            <w:r>
              <w:rPr>
                <w:sz w:val="24"/>
              </w:rPr>
            </w:r>
          </w:p>
          <w:p>
            <w:pPr>
              <w:ind w:left="159" w:right="137" w:firstLine="284"/>
              <w:jc w:val="both"/>
              <w:spacing w:line="276" w:lineRule="auto"/>
              <w:tabs>
                <w:tab w:val="left" w:pos="673" w:leader="none"/>
              </w:tabs>
              <w:rPr>
                <w:sz w:val="24"/>
              </w:rPr>
            </w:pPr>
            <w:r>
              <w:rPr>
                <w:sz w:val="24"/>
              </w:rPr>
              <w:t xml:space="preserve">2. При разработке проектной</w:t>
            </w:r>
            <w:r>
              <w:rPr>
                <w:sz w:val="24"/>
              </w:rPr>
              <w:t xml:space="preserve"> и сметной документации </w:t>
            </w:r>
            <w:r>
              <w:rPr>
                <w:sz w:val="24"/>
              </w:rPr>
              <w:t xml:space="preserve">рекомендуется преду</w:t>
            </w:r>
            <w:r>
              <w:rPr>
                <w:sz w:val="24"/>
              </w:rPr>
              <w:t xml:space="preserve">сматривать материалы, изделия </w:t>
            </w:r>
            <w:r>
              <w:rPr>
                <w:sz w:val="24"/>
              </w:rPr>
              <w:t xml:space="preserve">Российского производства.</w:t>
            </w:r>
            <w:r>
              <w:rPr>
                <w:sz w:val="24"/>
              </w:rPr>
            </w:r>
            <w:r>
              <w:rPr>
                <w:sz w:val="24"/>
              </w:rPr>
            </w:r>
          </w:p>
          <w:p>
            <w:pPr>
              <w:numPr>
                <w:ilvl w:val="0"/>
                <w:numId w:val="42"/>
              </w:numPr>
              <w:ind w:right="137" w:hanging="2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Style w:val="1034"/>
                <w:rFonts w:eastAsia="Liberation Serif"/>
              </w:rPr>
              <w:t xml:space="preserve">Тепловая сеть: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numPr>
                <w:ilvl w:val="0"/>
                <w:numId w:val="8"/>
              </w:numPr>
              <w:ind w:left="142" w:right="137" w:firstLine="284"/>
              <w:jc w:val="both"/>
              <w:spacing w:line="276" w:lineRule="auto"/>
              <w:widowControl w:val="off"/>
              <w:tabs>
                <w:tab w:val="left" w:pos="209" w:leader="none"/>
              </w:tabs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в качестве</w:t>
            </w:r>
            <w:r>
              <w:rPr>
                <w:rFonts w:eastAsia="Liberation Serif"/>
                <w:sz w:val="24"/>
                <w:szCs w:val="24"/>
              </w:rPr>
              <w:t xml:space="preserve"> арматуры принять – стальные задвижки на                    Ру 25 кг/см</w:t>
            </w:r>
            <w:r>
              <w:rPr>
                <w:rFonts w:eastAsia="Liberation Serif"/>
                <w:sz w:val="24"/>
                <w:szCs w:val="24"/>
                <w:vertAlign w:val="superscript"/>
              </w:rPr>
              <w:t xml:space="preserve">2</w:t>
            </w:r>
            <w:r>
              <w:rPr>
                <w:rFonts w:eastAsia="Liberation Serif"/>
                <w:sz w:val="24"/>
                <w:szCs w:val="24"/>
              </w:rPr>
              <w:t xml:space="preserve"> под приварку</w:t>
            </w:r>
            <w:r>
              <w:rPr>
                <w:rStyle w:val="1034"/>
                <w:rFonts w:eastAsia="Liberation Serif"/>
              </w:rPr>
              <w:t xml:space="preserve">;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numPr>
                <w:ilvl w:val="0"/>
                <w:numId w:val="8"/>
              </w:numPr>
              <w:ind w:left="142" w:right="137" w:firstLine="284"/>
              <w:jc w:val="left"/>
              <w:spacing w:line="276" w:lineRule="auto"/>
              <w:widowControl w:val="off"/>
              <w:tabs>
                <w:tab w:val="left" w:pos="209" w:leader="none"/>
              </w:tabs>
              <w:rPr>
                <w:rFonts w:eastAsia="Liberation Serif"/>
                <w:sz w:val="24"/>
                <w:szCs w:val="24"/>
              </w:rPr>
            </w:pPr>
            <w:r>
              <w:rPr>
                <w:rStyle w:val="1034"/>
                <w:rFonts w:eastAsia="Liberation Serif"/>
              </w:rPr>
            </w:r>
            <w:r>
              <w:rPr>
                <w:rFonts w:ascii="Times New Roman" w:hAnsi="Times New Roman" w:eastAsia="Times New Roman" w:cs="Times New Roman"/>
                <w:b w:val="0"/>
                <w:i w:val="0"/>
                <w:strike w:val="0"/>
                <w:color w:val="000000"/>
                <w:sz w:val="24"/>
                <w:u w:val="none"/>
                <w:vertAlign w:val="baseline"/>
              </w:rPr>
              <w:t xml:space="preserve">тип  тепловой изоляции  </w:t>
            </w:r>
            <w:r>
              <w:rPr>
                <w:rFonts w:eastAsia="Liberation Serif"/>
                <w:sz w:val="24"/>
                <w:szCs w:val="24"/>
              </w:rPr>
              <w:t xml:space="preserve">из  матов  прошивных минераловатных;  </w:t>
            </w:r>
            <w:r>
              <w:rPr>
                <w:rStyle w:val="1034"/>
                <w:rFonts w:eastAsia="Liberation Serif"/>
              </w:rPr>
              <w:t xml:space="preserve">Теплоизоляционные материалы, изделия и конструкции должны соответствовать СП 61.13330.2012. «Свод правил. Тепловая изоляция оборудования и трубопроводов. Актуализированная редакция СНиП 41 -03-2003». 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numPr>
                <w:ilvl w:val="0"/>
                <w:numId w:val="46"/>
              </w:numPr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Требования к вариантной разработке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spacing w:line="324" w:lineRule="auto"/>
              <w:rPr>
                <w:rFonts w:eastAsia="Liberation Serif"/>
                <w:color w:val="ff0000"/>
                <w:sz w:val="24"/>
                <w:szCs w:val="24"/>
              </w:rPr>
            </w:pPr>
            <w:r>
              <w:rPr>
                <w:rFonts w:eastAsia="Liberation Serif"/>
                <w:color w:val="000000"/>
                <w:sz w:val="24"/>
                <w:szCs w:val="24"/>
              </w:rPr>
              <w:t xml:space="preserve">Не требуется</w:t>
            </w:r>
            <w:r>
              <w:rPr>
                <w:rFonts w:eastAsia="Liberation Serif"/>
                <w:color w:val="ff0000"/>
                <w:sz w:val="24"/>
                <w:szCs w:val="24"/>
              </w:rPr>
            </w:r>
            <w:r>
              <w:rPr>
                <w:rFonts w:eastAsia="Liberation Serif"/>
                <w:color w:val="ff0000"/>
                <w:sz w:val="24"/>
                <w:szCs w:val="24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>
          <w:trHeight w:val="11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numPr>
                <w:ilvl w:val="0"/>
                <w:numId w:val="46"/>
              </w:numPr>
              <w:ind w:left="0" w:firstLine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Исходные данные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0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1.Основные  характеристики  реконструируемого  объекта:</w:t>
            </w:r>
            <w:r/>
          </w:p>
          <w:p>
            <w:pPr>
              <w:ind w:left="142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1.1 Участок от У</w:t>
            </w:r>
            <w:r>
              <w:rPr>
                <w:rFonts w:ascii="Times New Roman" w:hAnsi="Times New Roman" w:eastAsia="Times New Roman" w:cs="Times New Roman"/>
                <w:bCs/>
                <w:sz w:val="24"/>
              </w:rPr>
              <w:t xml:space="preserve">Т-12АС  до  ТК-13С протяжённостью  в  двухтрубном  исполнении  196м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;</w:t>
            </w:r>
            <w:r/>
          </w:p>
          <w:p>
            <w:pPr>
              <w:ind w:left="0" w:right="159" w:firstLine="0"/>
              <w:jc w:val="both"/>
              <w:spacing w:line="276" w:lineRule="auto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none"/>
              </w:rPr>
              <w:t xml:space="preserve">   1.2.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Наружный диаметр трубопровода на участке –                    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r>
          </w:p>
          <w:p>
            <w:pPr>
              <w:ind w:left="0" w:right="159" w:firstLine="0"/>
              <w:jc w:val="both"/>
              <w:spacing w:line="276" w:lineRule="auto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highlight w:val="none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Дн 529мм;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highlight w:val="none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highlight w:val="none"/>
              </w:rPr>
            </w:r>
          </w:p>
          <w:p>
            <w:pPr>
              <w:ind w:left="0" w:right="159" w:firstLine="0"/>
              <w:jc w:val="both"/>
              <w:spacing w:line="276" w:lineRule="auto"/>
              <w:rPr>
                <w:sz w:val="24"/>
                <w:szCs w:val="24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none"/>
              </w:rPr>
              <w:t xml:space="preserve">   1.3.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Толщина стенки трубопровода – 8мм;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1.4. Материал трубопровода – сталь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u w:val="none"/>
              </w:rPr>
              <w:t xml:space="preserve">17Г1С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;</w:t>
            </w:r>
            <w:r/>
          </w:p>
          <w:p>
            <w:pPr>
              <w:ind w:left="0" w:right="159" w:firstLine="0"/>
              <w:jc w:val="both"/>
              <w:spacing w:line="276" w:lineRule="auto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1.5. Тип прокладки – подземный  в  непроходных ж/б    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r>
          </w:p>
          <w:p>
            <w:pPr>
              <w:ind w:left="0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лотках;</w:t>
            </w:r>
            <w:r/>
          </w:p>
          <w:p>
            <w:pPr>
              <w:ind w:left="0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1.7. Тип тепловой изоляции трубопроводов - </w:t>
            </w:r>
            <w:r>
              <w:rPr>
                <w:rFonts w:eastAsia="Liberation Serif"/>
                <w:sz w:val="24"/>
                <w:szCs w:val="24"/>
              </w:rPr>
              <w:t xml:space="preserve">из матов прошивных  минераловатных;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</w:r>
            <w:r/>
          </w:p>
          <w:p>
            <w:pPr>
              <w:ind w:left="0" w:right="159" w:firstLine="0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1.10. Температурный график работы теплосетей: (расчётный ) - 130/70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vertAlign w:val="superscript"/>
              </w:rPr>
              <w:t xml:space="preserve">0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С, эксплуатационный - 117,2/70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vertAlign w:val="superscript"/>
              </w:rPr>
              <w:t xml:space="preserve">0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С;</w:t>
            </w:r>
            <w:r/>
          </w:p>
          <w:p>
            <w:pPr>
              <w:ind w:left="0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 1.11. Вид теплоносителя – сетевая вода;</w:t>
            </w:r>
            <w:r/>
          </w:p>
          <w:p>
            <w:pPr>
              <w:ind w:left="0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 1.12. Максимальное рабочее давление теплоносителя (избыточное):</w:t>
            </w:r>
            <w:r/>
          </w:p>
          <w:p>
            <w:pPr>
              <w:ind w:left="0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 - в подающем трубопроводе - 11 кгс/см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vertAlign w:val="superscript"/>
              </w:rPr>
              <w:t xml:space="preserve">2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;</w:t>
            </w:r>
            <w:r/>
          </w:p>
          <w:p>
            <w:pPr>
              <w:ind w:left="0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 - в обратном трубопроводе - 2,2 кгс/см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vertAlign w:val="superscript"/>
              </w:rPr>
              <w:t xml:space="preserve">2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;</w:t>
            </w:r>
            <w:r/>
          </w:p>
          <w:p>
            <w:pPr>
              <w:ind w:left="142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1.13. Режим работы ТС - круглосуточный, круглогодичный;</w:t>
            </w:r>
            <w:r/>
          </w:p>
          <w:p>
            <w:pPr>
              <w:ind w:left="142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1.14. Источник теплоснабжения – Благовещенская ТЭЦ;</w:t>
            </w:r>
            <w:r/>
          </w:p>
          <w:p>
            <w:pPr>
              <w:ind w:left="142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1.15. Исполнительная схема существующей теплотрассы с указанием точек врезок ответвлений представлена в Приложение 1 к настоящему ТЗ;</w:t>
            </w:r>
            <w:r/>
          </w:p>
          <w:p>
            <w:pPr>
              <w:ind w:left="142" w:right="159" w:firstLine="0"/>
              <w:jc w:val="both"/>
              <w:spacing w:line="276" w:lineRule="auto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1.16. Дополнительные сведения предоставляются Заказчиком по письменному запросу Подрядчика с указанием перечня необходимых сведений и документов.</w:t>
            </w:r>
            <w:r/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8.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13" w:right="82"/>
              <w:jc w:val="left"/>
              <w:spacing w:line="324" w:lineRule="auto"/>
              <w:rPr>
                <w:rFonts w:ascii="Liberation Serif" w:hAnsi="Liberation Serif" w:eastAsia="Liberation Serif" w:cs="Liberation Serif"/>
                <w:strike/>
                <w:sz w:val="24"/>
                <w:szCs w:val="22"/>
              </w:rPr>
              <w:suppressLineNumbers w:val="0"/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Основные объёмы работ</w:t>
            </w:r>
            <w:r>
              <w:rPr>
                <w:rFonts w:ascii="Liberation Serif" w:hAnsi="Liberation Serif" w:eastAsia="Liberation Serif" w:cs="Liberation Serif"/>
                <w:strike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trike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pStyle w:val="837"/>
              <w:numPr>
                <w:ilvl w:val="0"/>
                <w:numId w:val="64"/>
              </w:numPr>
              <w:ind w:left="125" w:right="57" w:firstLine="0"/>
              <w:jc w:val="left"/>
              <w:spacing w:line="276" w:lineRule="auto"/>
              <w:rPr>
                <w:rFonts w:ascii="Times New Roman" w:hAnsi="Times New Roman" w:eastAsia="Times New Roman" w:cs="Times New Roman"/>
                <w:sz w:val="24"/>
                <w:szCs w:val="24"/>
                <w:highlight w:val="white"/>
              </w:rPr>
              <w:suppressLineNumbers w:val="0"/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color w:val="000000"/>
                <w:sz w:val="24"/>
              </w:rPr>
              <w:t xml:space="preserve">Инженерно-геологические, геодезические, экологические, гидрометеорологические изыскания:</w:t>
            </w: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837"/>
              <w:numPr>
                <w:ilvl w:val="0"/>
                <w:numId w:val="66"/>
              </w:numPr>
              <w:ind w:left="79" w:right="57" w:firstLine="0"/>
              <w:jc w:val="left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  <w:suppressLineNumbers w:val="0"/>
            </w:pP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</w: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Сбор исходных данных, проведение комплекса </w:t>
            </w: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обследований в объёме, необходимом для разработки проектной документации;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/>
          </w:p>
          <w:p>
            <w:pPr>
              <w:pStyle w:val="837"/>
              <w:numPr>
                <w:ilvl w:val="0"/>
                <w:numId w:val="66"/>
              </w:numPr>
              <w:ind w:left="136" w:right="170" w:firstLine="0"/>
              <w:jc w:val="both"/>
              <w:spacing w:after="0" w:line="65" w:lineRule="atLeast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Разработка Программ изысканий, с учетом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требований соответствующих нормативных документов, регламентирующих состав и объем изыскательских работ. Согласование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Программ с Заказчиком$</w:t>
            </w:r>
            <w:r>
              <w:rPr>
                <w:rFonts w:ascii="Times New Roman" w:hAnsi="Times New Roman" w:eastAsia="Times New Roman" w:cs="Times New Roman"/>
                <w:sz w:val="24"/>
                <w:highlight w:val="none"/>
              </w:rPr>
            </w:r>
            <w:r>
              <w:rPr>
                <w:sz w:val="24"/>
              </w:rPr>
            </w:r>
          </w:p>
          <w:p>
            <w:pPr>
              <w:pStyle w:val="837"/>
              <w:numPr>
                <w:ilvl w:val="0"/>
                <w:numId w:val="66"/>
              </w:numPr>
              <w:ind w:left="79" w:right="170" w:firstLine="0"/>
              <w:jc w:val="both"/>
              <w:spacing w:after="0" w:line="65" w:lineRule="atLeast"/>
              <w:rPr>
                <w:sz w:val="24"/>
                <w:szCs w:val="24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sz w:val="24"/>
                <w:highlight w:val="none"/>
              </w:rPr>
              <w:t xml:space="preserve">По результату проведения инженерных изысканий, Подрядчик обязан предоставить Заказчику сформированный отчет.</w:t>
            </w:r>
            <w:r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837"/>
              <w:numPr>
                <w:ilvl w:val="0"/>
                <w:numId w:val="66"/>
              </w:numPr>
              <w:ind w:left="79" w:right="170" w:firstLine="0"/>
              <w:jc w:val="both"/>
              <w:spacing w:after="0" w:line="65" w:lineRule="atLeast"/>
              <w:rPr>
                <w:sz w:val="24"/>
                <w:szCs w:val="24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sz w:val="24"/>
                <w:highlight w:val="none"/>
              </w:rPr>
            </w:r>
            <w:r>
              <w:rPr>
                <w:color w:val="000000" w:themeColor="text1"/>
                <w:sz w:val="22"/>
                <w:szCs w:val="22"/>
                <w:lang w:eastAsia="en-US"/>
              </w:rPr>
              <w:t xml:space="preserve">П</w:t>
            </w:r>
            <w:r>
              <w:rPr>
                <w:color w:val="000000" w:themeColor="text1"/>
                <w:sz w:val="24"/>
                <w:szCs w:val="24"/>
                <w:lang w:eastAsia="en-US"/>
              </w:rPr>
              <w:t xml:space="preserve">редставить Заказчику фото-видеоматериалы, подтверждающие выполнение работ. Фотоматериалы включить в состав технических отчетов по инженерным изысканиям.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highlight w:val="none"/>
              </w:rPr>
            </w:r>
            <w:r>
              <w:rPr>
                <w:rFonts w:ascii="Times New Roman" w:hAnsi="Times New Roman" w:eastAsia="Times New Roman" w:cs="Times New Roman"/>
                <w:sz w:val="24"/>
                <w:highlight w:val="none"/>
              </w:rPr>
            </w:r>
          </w:p>
          <w:p>
            <w:pPr>
              <w:ind w:left="79" w:right="170" w:firstLine="0"/>
              <w:jc w:val="both"/>
              <w:spacing w:after="0" w:line="65" w:lineRule="atLeast"/>
              <w:rPr>
                <w:sz w:val="24"/>
                <w:szCs w:val="24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highlight w:val="none"/>
              </w:rPr>
              <w:t xml:space="preserve">     </w:t>
            </w:r>
            <w:r>
              <w:rPr>
                <w:color w:val="000000" w:themeColor="text1"/>
                <w:sz w:val="24"/>
                <w:szCs w:val="24"/>
              </w:rPr>
              <w:t xml:space="preserve">Предусмотренные в настоящем задании требования к результатам инженерных изысканий могут уточняться исполнителем инженерных изысканий при составлении Программ и в процессе выполнения изыскательских работ – по согласованию с Заказчиком.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highlight w:val="none"/>
              </w:rPr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highlight w:val="none"/>
              </w:rPr>
            </w:r>
          </w:p>
          <w:p>
            <w:pPr>
              <w:ind w:left="113" w:right="57" w:firstLine="0"/>
              <w:jc w:val="both"/>
              <w:spacing w:after="0" w:afterAutospacing="0" w:line="65" w:lineRule="atLeast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  Оформление исходно-разрешительной документации, необходимой для выполнения инженерных изысканий, выполняется от имени Подрядчика и за его счет.</w:t>
            </w:r>
            <w:r>
              <w:rPr>
                <w:rFonts w:ascii="Times New Roman" w:hAnsi="Times New Roman" w:eastAsia="Times New Roman" w:cs="Times New Roman"/>
                <w:sz w:val="24"/>
                <w:highlight w:val="none"/>
              </w:rPr>
            </w:r>
            <w:r>
              <w:rPr>
                <w:rFonts w:ascii="Times New Roman" w:hAnsi="Times New Roman" w:eastAsia="Times New Roman" w:cs="Times New Roman"/>
                <w:sz w:val="20"/>
              </w:rPr>
            </w:r>
          </w:p>
          <w:p>
            <w:pPr>
              <w:pStyle w:val="815"/>
              <w:ind w:left="113" w:right="57" w:firstLine="0"/>
              <w:jc w:val="both"/>
              <w:spacing w:after="0" w:afterAutospacing="0" w:line="276" w:lineRule="auto"/>
              <w:rPr>
                <w:rFonts w:eastAsia="Liberation Serif"/>
                <w:sz w:val="24"/>
                <w:szCs w:val="24"/>
              </w:rPr>
              <w:suppressLineNumbers w:val="0"/>
            </w:pPr>
            <w:r>
              <w:rPr>
                <w:rFonts w:eastAsia="Liberation Serif"/>
                <w:sz w:val="24"/>
                <w:szCs w:val="24"/>
              </w:rPr>
              <w:t xml:space="preserve">2.  Разработка пр</w:t>
            </w:r>
            <w:r>
              <w:rPr>
                <w:rFonts w:eastAsia="Liberation Serif"/>
                <w:sz w:val="24"/>
                <w:szCs w:val="24"/>
              </w:rPr>
              <w:t xml:space="preserve">оектной документации,</w:t>
            </w:r>
            <w:r>
              <w:rPr>
                <w:rFonts w:eastAsia="Liberation Serif"/>
                <w:sz w:val="24"/>
                <w:szCs w:val="24"/>
              </w:rPr>
              <w:t xml:space="preserve"> в т.ч. сметной </w:t>
            </w:r>
            <w:r>
              <w:rPr>
                <w:rFonts w:eastAsia="Liberation Serif"/>
                <w:sz w:val="24"/>
                <w:szCs w:val="24"/>
              </w:rPr>
              <w:t xml:space="preserve">части.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pStyle w:val="815"/>
              <w:ind w:left="156" w:right="158" w:firstLine="145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Прокладку тепломагистрали выполнить максимально сохраняя существующую трассировку в границах земельного участка кадастровый номер 28:01:000000:384, находящегося в аренде АО «ДГК».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pStyle w:val="815"/>
              <w:ind w:left="142" w:right="158" w:firstLine="159"/>
              <w:jc w:val="both"/>
              <w:spacing w:line="276" w:lineRule="auto"/>
              <w:rPr>
                <w:rFonts w:eastAsia="Liberation Serif"/>
                <w:sz w:val="24"/>
                <w:szCs w:val="24"/>
                <w:highlight w:val="none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В объёме проектных работ для участка т/м №2 Северного  района, от УТ-12АС до ТК-13С, предусмотреть:</w:t>
            </w:r>
            <w:r>
              <w:rPr>
                <w:rFonts w:eastAsia="Liberation Serif"/>
                <w:sz w:val="24"/>
                <w:szCs w:val="24"/>
                <w:highlight w:val="none"/>
              </w:rPr>
            </w:r>
            <w:r>
              <w:rPr>
                <w:rFonts w:eastAsia="Liberation Serif"/>
                <w:sz w:val="24"/>
                <w:szCs w:val="24"/>
                <w:highlight w:val="none"/>
              </w:rPr>
            </w:r>
          </w:p>
          <w:p>
            <w:pPr>
              <w:pStyle w:val="815"/>
              <w:ind w:left="142" w:right="158" w:firstLine="159"/>
              <w:jc w:val="both"/>
              <w:spacing w:line="276" w:lineRule="auto"/>
              <w:rPr>
                <w:rFonts w:eastAsia="Liberation Serif"/>
                <w:sz w:val="24"/>
                <w:szCs w:val="24"/>
                <w:highlight w:val="none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- демонтаж подземного трубопровода в непроходных ж/б лотках Ду 500мм протяженностью 196м в двухтрубном исполнении в изоляции из матов прошивных минераловатных  и  ж/б конструкций;</w:t>
            </w:r>
            <w:r>
              <w:rPr>
                <w:rFonts w:eastAsia="Liberation Serif"/>
                <w:sz w:val="24"/>
                <w:szCs w:val="24"/>
                <w:highlight w:val="none"/>
              </w:rPr>
            </w:r>
            <w:r>
              <w:rPr>
                <w:rFonts w:eastAsia="Liberation Serif"/>
                <w:sz w:val="24"/>
                <w:szCs w:val="24"/>
                <w:highlight w:val="none"/>
              </w:rPr>
            </w:r>
          </w:p>
          <w:p>
            <w:pPr>
              <w:pStyle w:val="815"/>
              <w:ind w:left="142" w:right="158" w:firstLine="159"/>
              <w:jc w:val="both"/>
              <w:spacing w:line="276" w:lineRule="auto"/>
              <w:rPr>
                <w:rFonts w:eastAsia="Liberation Serif"/>
                <w:sz w:val="24"/>
                <w:szCs w:val="24"/>
                <w:highlight w:val="none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- устр</w:t>
            </w:r>
            <w:r>
              <w:rPr>
                <w:rFonts w:eastAsia="Liberation Serif"/>
                <w:sz w:val="24"/>
                <w:szCs w:val="24"/>
              </w:rPr>
              <w:t xml:space="preserve">ойство новых строительных конструкций, неподвижных и подвижных опор (необходимость данных работ определяется при выполнении обследований);</w:t>
            </w:r>
            <w:r>
              <w:rPr>
                <w:rFonts w:eastAsia="Liberation Serif"/>
                <w:sz w:val="24"/>
                <w:szCs w:val="24"/>
                <w:highlight w:val="none"/>
              </w:rPr>
            </w:r>
            <w:r>
              <w:rPr>
                <w:rFonts w:eastAsia="Liberation Serif"/>
                <w:sz w:val="24"/>
                <w:szCs w:val="24"/>
                <w:highlight w:val="none"/>
              </w:rPr>
            </w:r>
          </w:p>
          <w:p>
            <w:pPr>
              <w:pStyle w:val="815"/>
              <w:ind w:left="142" w:right="158" w:firstLine="159"/>
              <w:jc w:val="both"/>
              <w:spacing w:line="276" w:lineRule="auto"/>
              <w:tabs>
                <w:tab w:val="clear" w:pos="708" w:leader="none"/>
                <w:tab w:val="left" w:pos="959" w:leader="none"/>
              </w:tabs>
              <w:rPr>
                <w:rFonts w:eastAsia="Liberation Serif"/>
                <w:sz w:val="24"/>
                <w:szCs w:val="24"/>
                <w:highlight w:val="none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- монтаж подземного трубопровода Дн720х9мм, протяженностью  196м в двухтрубном исполнении с использованием </w:t>
            </w:r>
            <w:r>
              <w:rPr>
                <w:rFonts w:ascii="Times New Roman" w:hAnsi="Times New Roman" w:eastAsia="Times New Roman" w:cs="Times New Roman"/>
                <w:b w:val="0"/>
                <w:i w:val="0"/>
                <w:strike w:val="0"/>
                <w:color w:val="000000"/>
                <w:sz w:val="24"/>
                <w:u w:val="none"/>
                <w:vertAlign w:val="baseline"/>
              </w:rPr>
              <w:t xml:space="preserve">тепловой изоляции  </w:t>
            </w:r>
            <w:r>
              <w:rPr>
                <w:rFonts w:eastAsia="Liberation Serif"/>
                <w:sz w:val="24"/>
                <w:szCs w:val="24"/>
              </w:rPr>
              <w:t xml:space="preserve">из матов прошивных минераловатных  с  покрытием  рулонным  стеклопластиком</w:t>
            </w:r>
            <w:r>
              <w:rPr>
                <w:rFonts w:eastAsia="Liberation Serif"/>
                <w:sz w:val="24"/>
                <w:szCs w:val="24"/>
              </w:rPr>
              <w:t xml:space="preserve">;</w:t>
            </w:r>
            <w:r>
              <w:rPr>
                <w:rFonts w:eastAsia="Liberation Serif"/>
                <w:sz w:val="24"/>
                <w:szCs w:val="24"/>
                <w:highlight w:val="none"/>
              </w:rPr>
            </w:r>
            <w:r>
              <w:rPr>
                <w:rFonts w:eastAsia="Liberation Serif"/>
                <w:sz w:val="24"/>
                <w:szCs w:val="24"/>
                <w:highlight w:val="none"/>
              </w:rPr>
            </w:r>
          </w:p>
          <w:p>
            <w:pPr>
              <w:pStyle w:val="815"/>
              <w:ind w:left="301" w:right="158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- выполнение перехода улицы  в  подземном  варианте;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pStyle w:val="815"/>
              <w:ind w:left="301" w:right="158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- замену всей запорной арматуры;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pStyle w:val="815"/>
              <w:ind w:left="130" w:right="158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  <w:suppressLineNumbers w:val="0"/>
            </w:pPr>
            <w:r>
              <w:rPr>
                <w:rFonts w:eastAsia="Liberation Serif"/>
                <w:sz w:val="24"/>
                <w:szCs w:val="24"/>
              </w:rPr>
              <w:t xml:space="preserve">- наличие переходов через естественные и искусственные </w:t>
            </w:r>
            <w:r>
              <w:rPr>
                <w:rFonts w:eastAsia="Liberation Serif"/>
                <w:sz w:val="24"/>
                <w:szCs w:val="24"/>
              </w:rPr>
              <w:t xml:space="preserve">преграды, мест перес</w:t>
            </w:r>
            <w:r>
              <w:rPr>
                <w:rFonts w:eastAsia="Liberation Serif"/>
                <w:sz w:val="24"/>
                <w:szCs w:val="24"/>
              </w:rPr>
              <w:t xml:space="preserve">ечений с коммуникациями;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pStyle w:val="815"/>
              <w:contextualSpacing w:val="0"/>
              <w:ind w:left="130" w:right="158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  <w:suppressLineNumbers w:val="0"/>
            </w:pPr>
            <w:r>
              <w:rPr>
                <w:rFonts w:eastAsia="Liberation Serif"/>
                <w:sz w:val="24"/>
                <w:szCs w:val="24"/>
              </w:rPr>
              <w:t xml:space="preserve">- </w:t>
            </w:r>
            <w:r>
              <w:rPr>
                <w:rFonts w:eastAsia="Liberation Serif"/>
                <w:sz w:val="24"/>
                <w:szCs w:val="24"/>
              </w:rPr>
              <w:t xml:space="preserve">предусмотреть проектом существующие </w:t>
            </w:r>
            <w:r>
              <w:rPr>
                <w:rFonts w:eastAsia="Liberation Serif"/>
                <w:sz w:val="24"/>
                <w:szCs w:val="24"/>
              </w:rPr>
              <w:t xml:space="preserve">технологические присоединения к тепломагистрали с узлами врезок.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pStyle w:val="815"/>
              <w:ind w:left="130" w:right="113" w:firstLine="0"/>
              <w:spacing w:line="276" w:lineRule="auto"/>
              <w:rPr>
                <w:color w:val="auto"/>
                <w:sz w:val="20"/>
                <w:szCs w:val="20"/>
                <w:lang w:eastAsia="zh-CN" w:bidi="ar-SA"/>
              </w:rPr>
              <w:suppressLineNumbers w:val="0"/>
            </w:pPr>
            <w:r>
              <w:rPr>
                <w:rStyle w:val="1034"/>
              </w:rPr>
              <w:t xml:space="preserve">3.       Выполнить необходимые тепловые, гидравлические и </w:t>
            </w:r>
            <w:r>
              <w:rPr>
                <w:rStyle w:val="1034"/>
              </w:rPr>
              <w:t xml:space="preserve">прочностные расч</w:t>
            </w:r>
            <w:r>
              <w:rPr>
                <w:rStyle w:val="1034"/>
              </w:rPr>
              <w:t xml:space="preserve">ёты.</w:t>
            </w:r>
            <w:r>
              <w:rPr>
                <w:color w:val="auto"/>
                <w:sz w:val="20"/>
                <w:szCs w:val="20"/>
                <w:lang w:eastAsia="zh-CN" w:bidi="ar-SA"/>
              </w:rPr>
            </w:r>
            <w:r>
              <w:rPr>
                <w:color w:val="auto"/>
                <w:sz w:val="20"/>
                <w:szCs w:val="20"/>
                <w:lang w:eastAsia="zh-CN" w:bidi="ar-SA"/>
              </w:rPr>
            </w:r>
          </w:p>
          <w:p>
            <w:pPr>
              <w:pStyle w:val="815"/>
              <w:ind w:left="130" w:right="113" w:firstLine="0"/>
              <w:jc w:val="both"/>
              <w:spacing w:line="276" w:lineRule="auto"/>
              <w:suppressLineNumbers w:val="0"/>
            </w:pPr>
            <w:r>
              <w:rPr>
                <w:rFonts w:eastAsia="Liberation Serif"/>
                <w:sz w:val="24"/>
                <w:szCs w:val="24"/>
              </w:rPr>
              <w:t xml:space="preserve">4. Согласование проектной документации с </w:t>
            </w:r>
            <w:r>
              <w:rPr>
                <w:rFonts w:eastAsia="Liberation Serif"/>
                <w:sz w:val="24"/>
                <w:szCs w:val="24"/>
              </w:rPr>
              <w:t xml:space="preserve">собственниками пересекаемых коммуникаций (при необходи</w:t>
            </w:r>
            <w:r>
              <w:rPr>
                <w:rFonts w:eastAsia="Liberation Serif"/>
                <w:sz w:val="24"/>
                <w:szCs w:val="24"/>
              </w:rPr>
              <w:t xml:space="preserve">мости).</w:t>
            </w:r>
            <w:r/>
          </w:p>
          <w:p>
            <w:pPr>
              <w:pStyle w:val="815"/>
              <w:ind w:left="142" w:right="158" w:firstLine="159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        При необходимости Подрядчик выполняет соответствующие корректировки проектной и сметной документаций, возникающие в ходе выполнения строительно-монтажных работ.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pStyle w:val="815"/>
              <w:ind w:left="142" w:right="158" w:firstLine="159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Объем проектной документации должен быть достаточным для проведения строительно-монтажных работ.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13" w:right="227" w:firstLine="0"/>
              <w:jc w:val="both"/>
              <w:spacing w:after="0" w:line="65" w:lineRule="atLeast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eastAsia="Liberation Serif"/>
                <w:sz w:val="24"/>
                <w:szCs w:val="24"/>
              </w:rPr>
              <w:t xml:space="preserve">   5. </w:t>
            </w:r>
            <w:r>
              <w:rPr>
                <w:rFonts w:eastAsia="Liberation Serif"/>
                <w:sz w:val="24"/>
                <w:szCs w:val="24"/>
              </w:rPr>
              <w:t xml:space="preserve">Прохождение негосударственной экспертизы </w:t>
            </w:r>
            <w:r>
              <w:rPr>
                <w:rFonts w:eastAsia="Liberation Serif"/>
                <w:sz w:val="24"/>
                <w:szCs w:val="24"/>
              </w:rPr>
              <w:t xml:space="preserve">проектной документации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(вк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лючая сметную часть)</w:t>
            </w:r>
            <w:r>
              <w:rPr>
                <w:rFonts w:eastAsia="Liberation Serif"/>
                <w:sz w:val="24"/>
                <w:szCs w:val="24"/>
              </w:rPr>
              <w:t xml:space="preserve"> и инженерных изысканий, с получением положительного заключения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 xml:space="preserve">(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 xml:space="preserve">с внесением сведений в единый государственный Реестр заключений по объекту проектирован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 xml:space="preserve">ия)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 xml:space="preserve">.</w:t>
            </w:r>
            <w:r/>
            <w:r>
              <w:rPr>
                <w:rFonts w:ascii="Times New Roman" w:hAnsi="Times New Roman" w:eastAsia="Times New Roman" w:cs="Times New Roman"/>
                <w:sz w:val="20"/>
              </w:rPr>
            </w:r>
          </w:p>
          <w:p>
            <w:pPr>
              <w:ind w:left="0" w:right="159" w:firstLine="0"/>
              <w:jc w:val="both"/>
              <w:spacing w:line="276" w:lineRule="auto"/>
              <w:rPr>
                <w:rFonts w:eastAsia="Liberation Serif"/>
                <w:sz w:val="24"/>
                <w:szCs w:val="24"/>
                <w:highlight w:val="none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eastAsia="Liberation Serif"/>
                <w:sz w:val="24"/>
                <w:szCs w:val="24"/>
              </w:rPr>
              <w:t xml:space="preserve">     6.    Разработка рабочей документации.</w:t>
            </w:r>
            <w:r/>
          </w:p>
          <w:p>
            <w:pPr>
              <w:ind w:left="113" w:right="0" w:firstLine="0"/>
              <w:jc w:val="both"/>
              <w:spacing w:after="0" w:line="65" w:lineRule="atLeast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При необходимости Подрядчик выполняет соответствующие корректировки рабочей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документации.</w:t>
            </w:r>
            <w:r>
              <w:rPr>
                <w:rFonts w:eastAsia="Liberation Serif"/>
                <w:sz w:val="24"/>
                <w:szCs w:val="24"/>
                <w:highlight w:val="none"/>
              </w:rPr>
            </w:r>
            <w:r>
              <w:rPr>
                <w:rFonts w:ascii="Times New Roman" w:hAnsi="Times New Roman" w:eastAsia="Times New Roman" w:cs="Times New Roman"/>
                <w:sz w:val="20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ind w:left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9.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Требования к составу разрабатываемой документации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Объём и состав проектной документации должен соответствовать требованиям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Постановления Правительства Российской Федерации от 16.02.2008 № 87 «О составе разделов проектной документации и требованиях к их содержанию»</w:t>
            </w:r>
            <w:r>
              <w:rPr>
                <w:rFonts w:ascii="Times New Roman" w:hAnsi="Times New Roman" w:eastAsia="Times New Roman" w:cs="Times New Roman"/>
                <w:sz w:val="24"/>
              </w:rPr>
              <w:t xml:space="preserve">,</w:t>
            </w: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Постановлением Правительства РФ от 26.12.2014 № 1521 «Об утверждении перечня национальных стандартов и сводов правил», </w:t>
            </w: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Федеральным законом от 30.12.2009 № 384-ФЗ «Технический регламент о безопасности зданий и сооружений» в объеме в соответствии с техническим заданием</w:t>
            </w: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4"/>
              </w:rPr>
              <w:t xml:space="preserve">и других взаимосвязанных стандартов Системы проектной документации для строительства.</w:t>
            </w:r>
            <w:r>
              <w:rPr>
                <w:rFonts w:ascii="Times New Roman" w:hAnsi="Times New Roman" w:cs="Times New Roman"/>
                <w:sz w:val="24"/>
                <w:highlight w:val="white"/>
              </w:rPr>
            </w:r>
            <w:r>
              <w:rPr>
                <w:rFonts w:ascii="Times New Roman" w:hAnsi="Times New Roman" w:cs="Times New Roman"/>
                <w:sz w:val="24"/>
                <w:highlight w:val="white"/>
              </w:rPr>
            </w:r>
          </w:p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Объем проектной документации должен быть достаточным для проведения всего комплекса монтажных работ, включая рабочие чертежи, объединенные в комплекты по видам работ.</w: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</w:r>
          </w:p>
          <w:p>
            <w:pPr>
              <w:pStyle w:val="815"/>
              <w:ind w:left="113" w:right="113" w:firstLine="421"/>
              <w:jc w:val="both"/>
              <w:spacing w:line="276" w:lineRule="auto"/>
              <w:widowControl w:val="off"/>
              <w:tabs>
                <w:tab w:val="left" w:pos="511" w:leader="none"/>
                <w:tab w:val="clear" w:pos="708" w:leader="none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Раздел ПОС выполнить в соответствии с требованиями СП 48.13330.2019 «Свод п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равил. Организация строительства». Состав и содержание ПОС должны соответствовать требованиям пункта 23 раздела 6 Постановления Правительства Российской Федерации от 16.02.2008 № 87 «О составе разделов проектной документации и требованиях к их содержанию».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815"/>
              <w:ind w:left="113" w:right="113" w:firstLine="421"/>
              <w:jc w:val="both"/>
              <w:spacing w:line="276" w:lineRule="auto"/>
              <w:widowControl w:val="off"/>
              <w:tabs>
                <w:tab w:val="left" w:pos="497" w:leader="none"/>
                <w:tab w:val="clear" w:pos="708" w:leader="none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При составлении календарного плана строительства учесть сроки изготовления и доставки материалов к месту строительства.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815"/>
              <w:ind w:left="113" w:right="113" w:firstLine="421"/>
              <w:jc w:val="both"/>
              <w:spacing w:line="276" w:lineRule="auto"/>
              <w:widowControl w:val="off"/>
              <w:tabs>
                <w:tab w:val="left" w:pos="497" w:leader="none"/>
                <w:tab w:val="clear" w:pos="708" w:leader="none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В ПОС разработать сводные спецификации на строительные конструкции, материалы.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     В соста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ве проекта организации строительства разработать перечень работ, для которых необходимо составление актов освидетельствования скрытых работ и актов промежуточной приемки ответственных конструкций (работ), порядок проведения приемочных испытаний (проверок).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    В составе проекта предусмотреть: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-</w:t>
              <w:tab/>
              <w:t xml:space="preserve">спецификацию изделий и Материалов, выполняемую в соответствии с "ГОСТ 21.110-2013. Межгосударственный стандарт. Система проектной документации для строительства. Спецификация оборудования, изделий и материалов";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-</w:t>
              <w:tab/>
              <w:t xml:space="preserve">ведомости и сводные ведомости потребности в материалах по "ГОСТ 21.110-2013. Межгосударственный стандарт. Система проектной документации для строительства. Спецификация оборудования, изделий и материалов";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- ведомости и сборники ведомостей объемов строительных и монтажных работ по "ГОСТ 21.110-2013. Межгосударственный стандарт. Система проектной документации для строительства";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 w:bidi="ru-RU"/>
              </w:rPr>
              <w:t xml:space="preserve">- другие документы, предусмотренные соответствующими стандартами СПДС.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  <w:highlight w:val="yellow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      </w:t>
            </w:r>
            <w:r>
              <w:rPr>
                <w:rFonts w:ascii="Times New Roman" w:hAnsi="Times New Roman" w:eastAsia="Times New Roman" w:cs="Times New Roman"/>
                <w:sz w:val="24"/>
              </w:rPr>
              <w:t xml:space="preserve">2. В составе сметной документации предусмотреть:</w:t>
            </w:r>
            <w:r>
              <w:rPr>
                <w:rFonts w:ascii="Times New Roman" w:hAnsi="Times New Roman" w:cs="Times New Roman"/>
                <w:sz w:val="24"/>
                <w:highlight w:val="yellow"/>
              </w:rPr>
            </w:r>
            <w:r>
              <w:rPr>
                <w:rFonts w:ascii="Times New Roman" w:hAnsi="Times New Roman" w:cs="Times New Roman"/>
                <w:sz w:val="24"/>
                <w:highlight w:val="yellow"/>
              </w:rPr>
            </w:r>
          </w:p>
          <w:p>
            <w:pPr>
              <w:pStyle w:val="815"/>
              <w:ind w:left="159" w:right="137" w:firstLine="130"/>
              <w:spacing w:line="276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-  локальные сметы (сметные расчеты) на отдельные виды работ, которые необходимо выполнить по данному объекту;</w: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</w:r>
          </w:p>
          <w:p>
            <w:pPr>
              <w:pStyle w:val="815"/>
              <w:ind w:left="159" w:right="137" w:firstLine="130"/>
              <w:spacing w:line="276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- объектные сметы (сметные расчеты) на объект в целом, где объединены данные из локальных смет;</w: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</w:r>
          </w:p>
          <w:p>
            <w:pPr>
              <w:pStyle w:val="815"/>
              <w:ind w:left="159" w:right="137" w:firstLine="130"/>
              <w:spacing w:line="276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- сметные расчеты на отдельные виды затрат;</w: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</w:r>
          </w:p>
          <w:p>
            <w:pPr>
              <w:pStyle w:val="815"/>
              <w:ind w:left="159" w:right="137" w:firstLine="130"/>
              <w:spacing w:line="276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- сводные сметные расчёты;</w: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</w:r>
          </w:p>
          <w:p>
            <w:pPr>
              <w:pStyle w:val="815"/>
              <w:ind w:left="159" w:right="137" w:firstLine="130"/>
              <w:spacing w:line="276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- ведомости объёмов работ;</w: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</w:r>
          </w:p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- прайс-листы и технико-коммерческие предложения на материалы.</w: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</w:r>
          </w:p>
          <w:p>
            <w:pPr>
              <w:pStyle w:val="815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В стоимость работ должны быть включены все затраты, связанные с созданием объекта и вводом его в эксплуатацию.</w: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</w:r>
          </w:p>
          <w:p>
            <w:pPr>
              <w:pStyle w:val="815"/>
              <w:ind w:left="142" w:right="158" w:firstLine="159"/>
              <w:jc w:val="both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 xml:space="preserve">Все материалы со стоимостью по прайс-листам должны быть согласованы с Заказчиком в процессе проектирования. К запросу на согласование цены в обязательном порядке прикладываются коммерческие предложения и мониторинг цен, не менее трёх поставщиков.</w:t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</w:r>
          </w:p>
          <w:p>
            <w:pPr>
              <w:pStyle w:val="1029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sz w:val="24"/>
              </w:rPr>
              <w:t xml:space="preserve">3. Проектную документацию перед прохождением негосударственной экспертизы в обязательном порядке согласовать с Заказчиком.</w:t>
            </w:r>
            <w:r>
              <w:rPr>
                <w:rFonts w:ascii="Times New Roman" w:hAnsi="Times New Roman" w:cs="Times New Roman"/>
                <w:sz w:val="24"/>
                <w:szCs w:val="24"/>
                <w:highlight w:val="none"/>
              </w:rPr>
            </w:r>
            <w:r>
              <w:rPr>
                <w:rFonts w:ascii="Times New Roman" w:hAnsi="Times New Roman" w:cs="Times New Roman"/>
                <w:sz w:val="24"/>
                <w:szCs w:val="24"/>
                <w:highlight w:val="none"/>
              </w:rPr>
            </w:r>
          </w:p>
          <w:p>
            <w:pPr>
              <w:pStyle w:val="1029"/>
              <w:ind w:left="159" w:right="137" w:firstLine="130"/>
              <w:jc w:val="both"/>
              <w:spacing w:line="276" w:lineRule="auto"/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4. </w:t>
            </w: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Рабочая документация должна соответствовать </w:t>
            </w: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ГОСТ Р 21.101-2020 "Система проектной документации для строи</w:t>
            </w:r>
            <w:r>
              <w:rPr>
                <w:rFonts w:ascii="Times New Roman" w:hAnsi="Times New Roman" w:eastAsia="Times New Roman" w:cs="Times New Roman"/>
                <w:sz w:val="24"/>
                <w:highlight w:val="white"/>
              </w:rPr>
              <w:t xml:space="preserve">тельства. Основные требования к проектной и рабочей документации", </w:t>
            </w:r>
            <w:r>
              <w:rPr>
                <w:rFonts w:ascii="Times New Roman" w:hAnsi="Times New Roman" w:eastAsia="Times New Roman" w:cs="Times New Roman"/>
                <w:sz w:val="24"/>
              </w:rPr>
              <w:t xml:space="preserve">ГОСТ 24.405-93 "Правила оформления рабочей документации тепловой изоляции оборудования и трубопроводов"</w:t>
            </w:r>
            <w:r>
              <w:rPr>
                <w:rFonts w:ascii="Times New Roman" w:hAnsi="Times New Roman" w:eastAsia="Times New Roman" w:cs="Times New Roman"/>
                <w:sz w:val="24"/>
              </w:rPr>
              <w:t xml:space="preserve">.</w:t>
            </w:r>
            <w:r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r>
            <w:r>
              <w:rPr>
                <w:rFonts w:ascii="Times New Roman" w:hAnsi="Times New Roman" w:cs="Times New Roman"/>
                <w:sz w:val="24"/>
                <w:szCs w:val="24"/>
                <w:highlight w:val="white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10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Основные требования к проектным решениям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На всём протяжении участка реконструкции учесть подключения к тепломагистрали №2 Северного  района: все существующие ответвления и дополнительно подключаемые новые объекты строительства.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Врезки ответвлений теплосетей произвести в районе неподвижных опор.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Для компенсации температурных удлинений трубопроводов в соответствии с требованиями СНиП использовать  П-образные  </w:t>
            </w:r>
            <w:r>
              <w:rPr>
                <w:rFonts w:eastAsia="Liberation Serif"/>
                <w:sz w:val="24"/>
                <w:szCs w:val="24"/>
              </w:rPr>
              <w:t xml:space="preserve">компенсаторы.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Вид прокладки теплотрассы принять в соответствии с требованиями СНиП, увязав с существующими условиями прохождения тепломагистрали.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Отвод дренажных вод запроектировать в соответствии с требованиями законодательства об охране окружающей среды и основ земельного кодекса РФ, получить все необходимые согласования.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Железобетонные конструкции, соприкасающиеся с грунтом, покрыть гидроизоляционной мастикой. 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Расчет на прочность трубопроводов выполнить в соответствии с ГОСТ 55596-2013 «Сети тепловые. Нормы и методы расчета на прочность и сейсмические воздействия».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ind w:left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11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Style w:val="1034"/>
                <w:rFonts w:ascii="Liberation Serif" w:hAnsi="Liberation Serif" w:eastAsia="Liberation Serif" w:cs="Liberation Serif"/>
                <w:szCs w:val="22"/>
              </w:rPr>
              <w:t xml:space="preserve">Порядок формирования сметной документации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textDirection w:val="lrTb"/>
            <w:noWrap w:val="false"/>
          </w:tcPr>
          <w:p>
            <w:pPr>
              <w:ind w:left="142" w:right="137" w:firstLine="301"/>
              <w:jc w:val="both"/>
              <w:spacing w:line="276" w:lineRule="auto"/>
              <w:shd w:val="clear" w:color="auto" w:fill="ffffff"/>
              <w:tabs>
                <w:tab w:val="left" w:pos="1361" w:leader="none"/>
              </w:tabs>
              <w:rPr>
                <w:spacing w:val="-5"/>
                <w:sz w:val="24"/>
                <w:szCs w:val="24"/>
                <w:lang w:bidi="ru-RU"/>
              </w:rPr>
            </w:pPr>
            <w:r>
              <w:rPr>
                <w:spacing w:val="-5"/>
                <w:sz w:val="24"/>
                <w:szCs w:val="24"/>
                <w:lang w:bidi="ru-RU"/>
              </w:rPr>
              <w:t xml:space="preserve">В составе проектной документации сметы на СМР формировать по следующим критериям:</w:t>
            </w:r>
            <w:r>
              <w:rPr>
                <w:spacing w:val="-5"/>
                <w:sz w:val="24"/>
                <w:szCs w:val="24"/>
                <w:lang w:bidi="ru-RU"/>
              </w:rPr>
            </w:r>
            <w:r>
              <w:rPr>
                <w:spacing w:val="-5"/>
                <w:sz w:val="24"/>
                <w:szCs w:val="24"/>
                <w:lang w:bidi="ru-RU"/>
              </w:rPr>
            </w:r>
          </w:p>
          <w:p>
            <w:pPr>
              <w:ind w:left="142" w:right="137" w:firstLine="301"/>
              <w:jc w:val="both"/>
              <w:spacing w:line="276" w:lineRule="auto"/>
              <w:shd w:val="clear" w:color="auto" w:fill="ffffff"/>
              <w:tabs>
                <w:tab w:val="left" w:pos="1361" w:leader="none"/>
              </w:tabs>
              <w:rPr>
                <w:spacing w:val="-5"/>
                <w:sz w:val="24"/>
                <w:szCs w:val="24"/>
                <w:lang w:bidi="ru-RU"/>
              </w:rPr>
            </w:pPr>
            <w:r>
              <w:rPr>
                <w:spacing w:val="-5"/>
                <w:sz w:val="24"/>
                <w:szCs w:val="24"/>
                <w:lang w:bidi="ru-RU"/>
              </w:rPr>
              <w:t xml:space="preserve">При составлении сметной документации руководствоваться актуальными методическими документами, действующими на момент составления проектной документации.</w:t>
            </w:r>
            <w:r>
              <w:rPr>
                <w:spacing w:val="-5"/>
                <w:sz w:val="24"/>
                <w:szCs w:val="24"/>
                <w:lang w:bidi="ru-RU"/>
              </w:rPr>
            </w:r>
            <w:r>
              <w:rPr>
                <w:spacing w:val="-5"/>
                <w:sz w:val="24"/>
                <w:szCs w:val="24"/>
                <w:lang w:bidi="ru-RU"/>
              </w:rPr>
            </w:r>
          </w:p>
          <w:p>
            <w:pPr>
              <w:ind w:left="142" w:right="136" w:firstLine="300"/>
              <w:jc w:val="both"/>
              <w:spacing w:line="276" w:lineRule="auto"/>
              <w:shd w:val="clear" w:color="ffffff" w:fill="ffffff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</w:pPr>
            <w:r>
              <w:rPr>
                <w:rFonts w:ascii="Times New Roman" w:hAnsi="Times New Roman" w:eastAsia="Times New Roman" w:cs="Times New Roman"/>
                <w:color w:val="000000"/>
                <w:spacing w:val="-6"/>
                <w:sz w:val="24"/>
              </w:rPr>
              <w:t xml:space="preserve">Стоимость работ определить ресурсно-индексным методом,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индексы перевода в текущие цены учитывать по данным ФГИС, публикуемых на момент составления сметной документации:</w:t>
            </w:r>
            <w:r>
              <w:rPr>
                <w:sz w:val="24"/>
              </w:rPr>
            </w:r>
            <w:r/>
          </w:p>
          <w:p>
            <w:pPr>
              <w:ind w:left="142" w:right="137" w:firstLine="301"/>
              <w:jc w:val="both"/>
              <w:spacing w:line="276" w:lineRule="auto"/>
              <w:shd w:val="clear" w:color="auto" w:fill="ffffff"/>
              <w:tabs>
                <w:tab w:val="left" w:pos="1361" w:leader="none"/>
              </w:tabs>
              <w:rPr>
                <w:spacing w:val="-5"/>
                <w:sz w:val="24"/>
                <w:szCs w:val="24"/>
                <w:lang w:bidi="ru-RU"/>
              </w:rPr>
            </w:pPr>
            <w:r>
              <w:rPr>
                <w:spacing w:val="-5"/>
                <w:sz w:val="24"/>
                <w:szCs w:val="24"/>
                <w:lang w:bidi="ru-RU"/>
              </w:rPr>
              <w:t xml:space="preserve">– при расчете сметной стоимости, сметную прибыль принять 40% от ФОТ для СМР.</w:t>
            </w:r>
            <w:r>
              <w:rPr>
                <w:spacing w:val="-5"/>
                <w:sz w:val="24"/>
                <w:szCs w:val="24"/>
                <w:lang w:bidi="ru-RU"/>
              </w:rPr>
            </w:r>
            <w:r>
              <w:rPr>
                <w:spacing w:val="-5"/>
                <w:sz w:val="24"/>
                <w:szCs w:val="24"/>
                <w:lang w:bidi="ru-RU"/>
              </w:rPr>
            </w:r>
          </w:p>
          <w:p>
            <w:pPr>
              <w:ind w:left="142" w:right="137" w:firstLine="301"/>
              <w:jc w:val="both"/>
              <w:spacing w:line="276" w:lineRule="auto"/>
              <w:shd w:val="clear" w:color="auto" w:fill="ffffff"/>
              <w:tabs>
                <w:tab w:val="left" w:pos="1361" w:leader="none"/>
              </w:tabs>
              <w:rPr>
                <w:spacing w:val="-5"/>
                <w:sz w:val="24"/>
                <w:szCs w:val="24"/>
                <w:lang w:bidi="ru-RU"/>
              </w:rPr>
            </w:pPr>
            <w:r>
              <w:rPr>
                <w:spacing w:val="-5"/>
                <w:sz w:val="24"/>
                <w:szCs w:val="24"/>
                <w:lang w:bidi="ru-RU"/>
              </w:rPr>
              <w:t xml:space="preserve">Командировочные затраты предусмотреть в размере 3,74% от итогов глав 1-9 без учёта стоимости оборудования.</w:t>
            </w:r>
            <w:r>
              <w:rPr>
                <w:spacing w:val="-5"/>
                <w:sz w:val="24"/>
                <w:szCs w:val="24"/>
                <w:lang w:bidi="ru-RU"/>
              </w:rPr>
            </w:r>
            <w:r>
              <w:rPr>
                <w:spacing w:val="-5"/>
                <w:sz w:val="24"/>
                <w:szCs w:val="24"/>
                <w:lang w:bidi="ru-RU"/>
              </w:rPr>
            </w:r>
          </w:p>
          <w:p>
            <w:pPr>
              <w:ind w:left="142" w:right="137" w:firstLine="301"/>
              <w:jc w:val="both"/>
              <w:spacing w:line="276" w:lineRule="auto"/>
              <w:shd w:val="clear" w:color="auto" w:fill="ffffff"/>
              <w:tabs>
                <w:tab w:val="left" w:pos="1361" w:leader="none"/>
              </w:tabs>
              <w:rPr>
                <w:spacing w:val="-5"/>
                <w:sz w:val="24"/>
                <w:szCs w:val="24"/>
                <w:lang w:bidi="ru-RU"/>
              </w:rPr>
            </w:pPr>
            <w:r>
              <w:rPr>
                <w:spacing w:val="-5"/>
                <w:sz w:val="24"/>
                <w:szCs w:val="24"/>
                <w:lang w:bidi="ru-RU"/>
              </w:rPr>
              <w:t xml:space="preserve">Величину резерва средств на непредвиденные работы и затраты принимать в размере 3%.</w:t>
            </w:r>
            <w:r>
              <w:rPr>
                <w:spacing w:val="-5"/>
                <w:sz w:val="24"/>
                <w:szCs w:val="24"/>
                <w:lang w:bidi="ru-RU"/>
              </w:rPr>
            </w:r>
            <w:r>
              <w:rPr>
                <w:spacing w:val="-5"/>
                <w:sz w:val="24"/>
                <w:szCs w:val="24"/>
                <w:lang w:bidi="ru-RU"/>
              </w:rPr>
            </w:r>
          </w:p>
          <w:p>
            <w:pPr>
              <w:ind w:left="142" w:right="137" w:firstLine="301"/>
              <w:jc w:val="both"/>
              <w:spacing w:line="276" w:lineRule="auto"/>
              <w:shd w:val="clear" w:color="auto" w:fill="ffffff"/>
              <w:tabs>
                <w:tab w:val="left" w:pos="1361" w:leader="none"/>
              </w:tabs>
              <w:rPr>
                <w:spacing w:val="-5"/>
                <w:sz w:val="24"/>
                <w:szCs w:val="24"/>
                <w:lang w:bidi="ru-RU"/>
              </w:rPr>
            </w:pPr>
            <w:r>
              <w:rPr>
                <w:spacing w:val="-5"/>
                <w:sz w:val="24"/>
                <w:szCs w:val="24"/>
                <w:lang w:bidi="ru-RU"/>
              </w:rPr>
              <w:t xml:space="preserve">Предусмотреть затраты на </w:t>
            </w:r>
            <w:r>
              <w:rPr>
                <w:spacing w:val="-5"/>
                <w:sz w:val="24"/>
                <w:szCs w:val="24"/>
                <w:lang w:bidi="ru-RU"/>
              </w:rPr>
              <w:t xml:space="preserve">выполнение гидравлических и </w:t>
            </w:r>
            <w:r>
              <w:rPr>
                <w:spacing w:val="-5"/>
                <w:sz w:val="24"/>
                <w:szCs w:val="24"/>
                <w:lang w:bidi="ru-RU"/>
              </w:rPr>
              <w:t xml:space="preserve">гарантийных испытаний.</w:t>
            </w:r>
            <w:r>
              <w:rPr>
                <w:spacing w:val="-5"/>
                <w:sz w:val="24"/>
                <w:szCs w:val="24"/>
                <w:lang w:bidi="ru-RU"/>
              </w:rPr>
            </w:r>
            <w:r>
              <w:rPr>
                <w:spacing w:val="-5"/>
                <w:sz w:val="24"/>
                <w:szCs w:val="24"/>
                <w:lang w:bidi="ru-RU"/>
              </w:rPr>
            </w:r>
          </w:p>
          <w:p>
            <w:pPr>
              <w:ind w:left="142" w:right="137" w:firstLine="301"/>
              <w:jc w:val="both"/>
              <w:spacing w:line="276" w:lineRule="auto"/>
              <w:shd w:val="clear" w:color="auto" w:fill="ffffff"/>
              <w:tabs>
                <w:tab w:val="left" w:pos="1361" w:leader="none"/>
              </w:tabs>
              <w:rPr>
                <w:spacing w:val="-5"/>
                <w:sz w:val="24"/>
                <w:szCs w:val="24"/>
                <w:lang w:bidi="ru-RU"/>
              </w:rPr>
            </w:pPr>
            <w:r>
              <w:rPr>
                <w:spacing w:val="-5"/>
                <w:sz w:val="24"/>
                <w:szCs w:val="24"/>
                <w:lang w:bidi="ru-RU"/>
              </w:rPr>
              <w:t xml:space="preserve">Стоимость материалов</w:t>
            </w:r>
            <w:r>
              <w:rPr>
                <w:spacing w:val="-5"/>
                <w:sz w:val="24"/>
                <w:szCs w:val="24"/>
                <w:lang w:bidi="ru-RU"/>
              </w:rPr>
              <w:t xml:space="preserve"> учтённых в сметах по текущим ценам, подтвердить обосновывающими документами с предоставлением сравнительной таблицы предложений от трех поставщиков.</w:t>
            </w:r>
            <w:r>
              <w:rPr>
                <w:spacing w:val="-5"/>
                <w:sz w:val="24"/>
                <w:szCs w:val="24"/>
                <w:lang w:bidi="ru-RU"/>
              </w:rPr>
            </w:r>
            <w:r>
              <w:rPr>
                <w:spacing w:val="-5"/>
                <w:sz w:val="24"/>
                <w:szCs w:val="24"/>
                <w:lang w:bidi="ru-RU"/>
              </w:rPr>
            </w:r>
          </w:p>
          <w:p>
            <w:pPr>
              <w:ind w:left="142" w:right="137" w:firstLine="301"/>
              <w:jc w:val="both"/>
              <w:spacing w:line="276" w:lineRule="auto"/>
              <w:shd w:val="clear" w:color="auto" w:fill="ffffff"/>
              <w:tabs>
                <w:tab w:val="left" w:pos="1361" w:leader="none"/>
              </w:tabs>
              <w:rPr>
                <w:spacing w:val="-5"/>
                <w:sz w:val="24"/>
                <w:szCs w:val="24"/>
                <w:lang w:bidi="ru-RU"/>
              </w:rPr>
            </w:pPr>
            <w:r>
              <w:rPr>
                <w:spacing w:val="-5"/>
                <w:sz w:val="24"/>
                <w:szCs w:val="24"/>
                <w:lang w:bidi="ru-RU"/>
              </w:rPr>
              <w:t xml:space="preserve">Применяемые ценообразующие документы согласовать с Заказчиком.</w:t>
            </w:r>
            <w:r>
              <w:rPr>
                <w:spacing w:val="-5"/>
                <w:sz w:val="24"/>
                <w:szCs w:val="24"/>
                <w:lang w:bidi="ru-RU"/>
              </w:rPr>
            </w:r>
            <w:r>
              <w:rPr>
                <w:spacing w:val="-5"/>
                <w:sz w:val="24"/>
                <w:szCs w:val="24"/>
                <w:lang w:bidi="ru-RU"/>
              </w:rPr>
            </w:r>
          </w:p>
          <w:p>
            <w:pPr>
              <w:ind w:left="142" w:right="137" w:firstLine="301"/>
              <w:jc w:val="both"/>
              <w:spacing w:line="276" w:lineRule="auto"/>
              <w:shd w:val="clear" w:color="auto" w:fill="ffffff"/>
              <w:tabs>
                <w:tab w:val="left" w:pos="1361" w:leader="none"/>
              </w:tabs>
              <w:rPr>
                <w:spacing w:val="-5"/>
                <w:sz w:val="24"/>
                <w:szCs w:val="24"/>
                <w:lang w:bidi="ru-RU"/>
              </w:rPr>
            </w:pPr>
            <w:r>
              <w:rPr>
                <w:spacing w:val="-5"/>
                <w:sz w:val="24"/>
                <w:szCs w:val="24"/>
                <w:lang w:bidi="ru-RU"/>
              </w:rPr>
              <w:t xml:space="preserve">Сводный сметный расчёт, объектные сметы, составляются в базисном и текущем уровне цен на момент строительства. </w:t>
            </w:r>
            <w:r>
              <w:rPr>
                <w:spacing w:val="-5"/>
                <w:sz w:val="24"/>
                <w:szCs w:val="24"/>
                <w:lang w:bidi="ru-RU"/>
              </w:rPr>
            </w:r>
            <w:r>
              <w:rPr>
                <w:spacing w:val="-5"/>
                <w:sz w:val="24"/>
                <w:szCs w:val="24"/>
                <w:lang w:bidi="ru-RU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ind w:left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12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Требования пожарной и промышленной безопасности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Документацию выполнить с учетом «Технического регламента о т</w:t>
            </w:r>
            <w:r>
              <w:rPr>
                <w:sz w:val="24"/>
                <w:szCs w:val="24"/>
              </w:rPr>
              <w:t xml:space="preserve">ребованиях пожарной безопасности» (ФЗ от 22.07.2008 № 123), РД 153-34.0-49.101-2003 и иных нормативно-технических документов. Учесть требования федерального закона «О промышленной безопасности опасных производственных объектов» (ФЗ от 21.07.1997 № 116-ФЗ).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>
          <w:trHeight w:val="41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ind w:left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13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Исходные данные, предоставляемые заказчиком для проектирования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Заказчик предоставляет Подрядчику до начала проектных работ следующие исходные данные: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- исполнительные схемы существующей теплотрассы и тепловых камер с указанием точек врезок ответвлений.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>
          <w:gridAfter w:val="3"/>
          <w:trHeight w:val="71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ind w:left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14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Особые условия заказчика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1. Прокладку тепломагистрали выполнить максимально сохраняя существующую трассировку, не выходя за пределы отведённого земельного участка.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Style w:val="1034"/>
                <w:rFonts w:eastAsia="Liberation Serif"/>
              </w:rPr>
              <w:t xml:space="preserve">2. Выполнить необходимые тепловые, гидравлические и прочностные расчёты.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42" w:right="158" w:firstLine="301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3. Применяемое </w:t>
            </w:r>
            <w:r>
              <w:rPr>
                <w:rFonts w:eastAsia="Liberation Serif"/>
                <w:sz w:val="24"/>
                <w:szCs w:val="24"/>
              </w:rPr>
              <w:t xml:space="preserve">Подрядчиком</w:t>
            </w:r>
            <w:r>
              <w:rPr>
                <w:rFonts w:eastAsia="Liberation Serif"/>
                <w:sz w:val="24"/>
                <w:szCs w:val="24"/>
              </w:rPr>
              <w:t xml:space="preserve"> в проекте и материалы сог</w:t>
            </w:r>
            <w:r>
              <w:rPr>
                <w:rFonts w:eastAsia="Liberation Serif"/>
                <w:sz w:val="24"/>
                <w:szCs w:val="24"/>
              </w:rPr>
              <w:t xml:space="preserve">ласовывать с СП «Амурские тепловые сети</w:t>
            </w:r>
            <w:r>
              <w:rPr>
                <w:rFonts w:eastAsia="Liberation Serif"/>
                <w:sz w:val="24"/>
                <w:szCs w:val="24"/>
              </w:rPr>
              <w:t xml:space="preserve">». Все применяемое в проекте </w:t>
            </w:r>
            <w:r>
              <w:rPr>
                <w:rFonts w:eastAsia="Liberation Serif"/>
                <w:sz w:val="24"/>
                <w:szCs w:val="24"/>
              </w:rPr>
              <w:t xml:space="preserve">материалы</w:t>
            </w:r>
            <w:r>
              <w:rPr>
                <w:rFonts w:eastAsia="Liberation Serif"/>
                <w:sz w:val="24"/>
                <w:szCs w:val="24"/>
              </w:rPr>
              <w:t xml:space="preserve"> должно иметь необходимые сертификаты РФ.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  <w:p>
            <w:pPr>
              <w:ind w:left="142" w:right="158" w:firstLine="301"/>
              <w:jc w:val="both"/>
              <w:spacing w:line="276" w:lineRule="auto"/>
              <w:rPr>
                <w:rStyle w:val="1034"/>
                <w:rFonts w:eastAsia="Liberation Serif"/>
                <w:highlight w:val="none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4. </w:t>
            </w:r>
            <w:r>
              <w:rPr>
                <w:rStyle w:val="1034"/>
                <w:rFonts w:eastAsia="Liberation Serif"/>
              </w:rPr>
              <w:t xml:space="preserve">Все замечания экспертных и надзорных органов</w:t>
            </w:r>
            <w:r>
              <w:rPr>
                <w:rStyle w:val="1034"/>
                <w:rFonts w:eastAsia="Liberation Serif"/>
              </w:rPr>
              <w:t xml:space="preserve">, а также несоответствия проектной</w:t>
            </w:r>
            <w:r>
              <w:rPr>
                <w:rStyle w:val="1034"/>
                <w:rFonts w:eastAsia="Liberation Serif"/>
              </w:rPr>
              <w:t xml:space="preserve"> документации и проектных решений требованиям действующих нормативных и законодательных актов, устраняются </w:t>
            </w:r>
            <w:r>
              <w:rPr>
                <w:rStyle w:val="1034"/>
                <w:rFonts w:eastAsia="Liberation Serif"/>
              </w:rPr>
              <w:t xml:space="preserve">Подрядчиком</w:t>
            </w:r>
            <w:r>
              <w:rPr>
                <w:rStyle w:val="1034"/>
                <w:rFonts w:eastAsia="Liberation Serif"/>
              </w:rPr>
              <w:t xml:space="preserve"> за счет собственных сил и средств, с внесением необходимых исправлений и изменений в документацию.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Style w:val="1034"/>
                <w:rFonts w:eastAsia="Liberation Serif"/>
                <w:highlight w:val="none"/>
              </w:rPr>
            </w:r>
          </w:p>
          <w:p>
            <w:pPr>
              <w:ind w:left="142" w:right="0" w:firstLine="0"/>
              <w:jc w:val="both"/>
              <w:spacing w:after="0" w:line="65" w:lineRule="atLeast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 xml:space="preserve">5.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8"/>
              </w:rPr>
              <w:t xml:space="preserve">Р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азработать раздел/подраздел проектной документации: «Применение ЗШО</w:t>
            </w:r>
            <w:hyperlink r:id="rId11" w:tooltip="file:///opt/r7-office/desktopeditors/editors/web-apps/apps/documenteditor/main/index.html?_dc=0&amp;lang=ru-RU&amp;frameEditorId=placeholder&amp;parentOrigin=file://#sdfootnote1sym" w:history="1">
              <w:r>
                <w:rPr>
                  <w:rStyle w:val="979"/>
                  <w:rFonts w:ascii="Times New Roman" w:hAnsi="Times New Roman" w:eastAsia="Times New Roman" w:cs="Times New Roman"/>
                  <w:color w:val="0000ff"/>
                  <w:sz w:val="11"/>
                  <w:u w:val="none"/>
                  <w:vertAlign w:val="superscript"/>
                </w:rPr>
                <w:t xml:space="preserve">1</w:t>
              </w:r>
            </w:hyperlink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».</w:t>
            </w:r>
            <w:r/>
          </w:p>
          <w:p>
            <w:pPr>
              <w:contextualSpacing/>
              <w:ind w:left="113" w:right="113" w:firstLine="323"/>
              <w:jc w:val="both"/>
              <w:spacing w:after="0" w:line="65" w:lineRule="atLeast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   В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разделе/подразделе проектной документации «Применение ЗШО» в соответствии с п. 3.11.22 Технической политики Группы РусГидро, утвержденной решением Совета директоров ПАО «РусГидро» (протокол от 06.02.2024 № 368), рассмотреть:</w:t>
            </w:r>
            <w:r/>
          </w:p>
          <w:p>
            <w:pPr>
              <w:pStyle w:val="837"/>
              <w:numPr>
                <w:ilvl w:val="0"/>
                <w:numId w:val="68"/>
              </w:numPr>
              <w:ind w:left="125" w:right="113" w:firstLine="0"/>
              <w:jc w:val="both"/>
              <w:spacing w:after="0" w:line="65" w:lineRule="atLeast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возможность использования ЗШО угольных ТЭС</w:t>
            </w:r>
            <w:hyperlink r:id="rId12" w:tooltip="file:///opt/r7-office/desktopeditors/editors/web-apps/apps/documenteditor/main/index.html?_dc=0&amp;lang=ru-RU&amp;frameEditorId=placeholder&amp;parentOrigin=file://#sdfootnote2sym" w:history="1">
              <w:r>
                <w:rPr>
                  <w:rStyle w:val="979"/>
                  <w:rFonts w:ascii="Times New Roman" w:hAnsi="Times New Roman" w:eastAsia="Times New Roman" w:cs="Times New Roman"/>
                  <w:color w:val="0000ff"/>
                  <w:sz w:val="11"/>
                  <w:u w:val="none"/>
                  <w:vertAlign w:val="superscript"/>
                </w:rPr>
                <w:t xml:space="preserve">2</w:t>
              </w:r>
            </w:hyperlink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 Группы РусГидро для приготовления бетонов и цементных растворов, строительства дорог, планирования территории, обратной засыпки (c подтверждением соответствующего уровня надежности и безопасности зданий и сооружений, а также их экологической безопасност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и);</w:t>
            </w:r>
            <w:r/>
            <w:r/>
            <w:r>
              <w:rPr>
                <w:rFonts w:ascii="Calibri" w:hAnsi="Calibri" w:eastAsia="Calibri" w:cs="Calibri"/>
                <w:color w:val="000000"/>
                <w:sz w:val="18"/>
              </w:rPr>
            </w:r>
            <w:r/>
            <w:r>
              <w:rPr>
                <w:sz w:val="24"/>
              </w:rPr>
            </w:r>
          </w:p>
          <w:p>
            <w:pPr>
              <w:pStyle w:val="837"/>
              <w:numPr>
                <w:ilvl w:val="0"/>
                <w:numId w:val="70"/>
              </w:numPr>
              <w:ind w:left="485" w:right="113"/>
              <w:jc w:val="both"/>
              <w:spacing w:after="0" w:line="65" w:lineRule="atLeast"/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определить экономическую эффективность применения ЗШО на объекте;</w:t>
            </w:r>
            <w:r/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</w:r>
            <w:r/>
            <w:r>
              <w:rPr>
                <w:sz w:val="24"/>
              </w:rPr>
            </w:r>
          </w:p>
          <w:p>
            <w:pPr>
              <w:pStyle w:val="837"/>
              <w:numPr>
                <w:ilvl w:val="0"/>
                <w:numId w:val="70"/>
              </w:numPr>
              <w:ind w:left="485" w:right="113"/>
              <w:jc w:val="both"/>
              <w:spacing w:after="0" w:line="65" w:lineRule="atLeast"/>
              <w:rPr>
                <w:sz w:val="24"/>
                <w:szCs w:val="24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</w:pBdr>
              <w:suppressLineNumbers w:val="0"/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none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none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п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none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ри наличии возможности применения ЗШО </w:t>
            </w:r>
            <w:r>
              <w:rPr>
                <w:sz w:val="24"/>
                <w:szCs w:val="24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  <w:t xml:space="preserve">и экономической эффективности определить объемы и способы применения ЗШО в проектной документации.</w:t>
            </w:r>
            <w:r/>
            <w:r>
              <w:rPr>
                <w:sz w:val="24"/>
                <w:szCs w:val="24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</w:rPr>
            </w:r>
            <w:r/>
            <w:r>
              <w:rPr>
                <w:sz w:val="24"/>
                <w:szCs w:val="24"/>
              </w:rPr>
            </w:r>
            <w:r/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none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highlight w:val="none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</w:tcBorders>
            <w:tcW w:w="57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>
          <w:gridAfter w:val="3"/>
          <w:trHeight w:val="71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ind w:left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15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Перечень нормативных документов и приказов, обязательных к применению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Градостроительный кодекс Российской Федерации от 29.12.2004 N 191-Федеральный закон.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 - Земельный кодекс Российской Федерации от 25.10.2001 N 136- Федеральный закон.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Федеральный закон от 24.07.2007 № 221-Федеральный закон «О государственном кадастре недвижимости».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СП 42.13330.2016 «Градостроительство. Планировка и застройка городских и сельских поселений».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СП 11-112-2001 "</w:t>
            </w:r>
            <w:r>
              <w:rPr>
                <w:rStyle w:val="1034"/>
              </w:rPr>
              <w:t xml:space="preserve">Порядок разработки и состав раздела "Инженерно-технические мероприятия гражданской обороны. Мероприятия по предупреждению чрезвычайных ситуаций" градостроительной документации для территорий городских и сельских поселений, других муниципальных образований.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СП 47.13330.2016 «Инженерные изыскания для строительства. Основные положения».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Инструкция о порядке проектирования и установления красных линий в городах и других поселениях Российской Федерации РДС-30-201-98, принятая постановлением Госстроя России от 06.04.1998г. № 18-30.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Закон Амурской области от 05.12.2006 № 259-ОЗ «О регулировании градостроительной деятельности в Амурской области».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Нормативы градостроительного проектирования Амурской области.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Нормативы градостроительного проектирования муниципального образования города Благовещенска.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Генеральный план города Благовещенска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Правила землепользования и застройки муниципального образования города Благовещенска.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26" w:leader="none"/>
                <w:tab w:val="left" w:pos="750" w:leader="none"/>
                <w:tab w:val="left" w:pos="954" w:leader="none"/>
              </w:tabs>
              <w:rPr>
                <w:sz w:val="24"/>
                <w:szCs w:val="24"/>
                <w:lang w:bidi="ru-RU"/>
              </w:rPr>
            </w:pPr>
            <w:r>
              <w:rPr>
                <w:rStyle w:val="1034"/>
              </w:rPr>
              <w:t xml:space="preserve">- СП 124.13330.2012. Тепловые сети (Изменение № 1);</w:t>
            </w:r>
            <w:r>
              <w:rPr>
                <w:sz w:val="24"/>
                <w:szCs w:val="24"/>
                <w:lang w:bidi="ru-RU"/>
              </w:rPr>
            </w:r>
            <w:r>
              <w:rPr>
                <w:sz w:val="24"/>
                <w:szCs w:val="24"/>
                <w:lang w:bidi="ru-RU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62" w:leader="none"/>
              </w:tabs>
              <w:rPr>
                <w:sz w:val="24"/>
                <w:szCs w:val="24"/>
              </w:rPr>
            </w:pPr>
            <w:r>
              <w:rPr>
                <w:rStyle w:val="1034"/>
              </w:rPr>
              <w:t xml:space="preserve">- СП 36.13330.2012. Свод правил. Магистральные трубопроводы (Изменение №1, 2, 3); 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СП 61.13330.2012 Тепловая изоляция оборудования и трубопроводов (Изменение № 1);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08" w:leader="none"/>
              </w:tabs>
              <w:rPr>
                <w:sz w:val="24"/>
                <w:szCs w:val="24"/>
              </w:rPr>
            </w:pPr>
            <w:r>
              <w:rPr>
                <w:rStyle w:val="1034"/>
              </w:rPr>
              <w:t xml:space="preserve">- ГОСТ 21.705-2016. Система проектной документации для строительства» (Поправка № 1);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33" w:leader="none"/>
              </w:tabs>
              <w:rPr>
                <w:sz w:val="24"/>
                <w:szCs w:val="24"/>
              </w:rPr>
            </w:pPr>
            <w:r>
              <w:rPr>
                <w:rStyle w:val="1034"/>
              </w:rPr>
              <w:t xml:space="preserve">- СП 33.13330.2012 «Расчет на прочность стальных трубопроводов» (Изменение № 1);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428" w:leader="none"/>
              </w:tabs>
              <w:rPr>
                <w:sz w:val="24"/>
                <w:szCs w:val="24"/>
              </w:rPr>
            </w:pPr>
            <w:r>
              <w:rPr>
                <w:rStyle w:val="1034"/>
              </w:rPr>
              <w:t xml:space="preserve">- ГОСТ 21.206-2012 СПДС. Условные обозначения трубопроводов;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454" w:leader="none"/>
              </w:tabs>
              <w:rPr>
                <w:sz w:val="24"/>
                <w:szCs w:val="24"/>
              </w:rPr>
            </w:pPr>
            <w:r>
              <w:rPr>
                <w:rStyle w:val="1034"/>
              </w:rPr>
              <w:t xml:space="preserve">- ГОСТ 21.405-93 СПДС. Правила выполнения рабочей документации тепловой изоляции оборудования и трубопроводов;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ГОСТ 21.705-2016 СПДС. Правила выполнения рабочей документации тепловых сетей (Поправка № 1);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-ГОСТ Р 21.101-2020 «Система проектной документации для строительства (СПДС). Основные требования к проектной и рабочей документации»;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58" w:leader="none"/>
              </w:tabs>
              <w:rPr>
                <w:sz w:val="24"/>
                <w:szCs w:val="24"/>
              </w:rPr>
            </w:pPr>
            <w:r>
              <w:rPr>
                <w:rStyle w:val="1034"/>
              </w:rPr>
              <w:t xml:space="preserve">- СН 531-80 Инструкция о составе, порядке разработки и утверждения схем теплоснабжения населенных пунктов с суммарной тепловой нагрузкой до 116 МВт (1000 Гкал/ч)</w:t>
            </w:r>
            <w:r>
              <w:rPr>
                <w:sz w:val="24"/>
                <w:szCs w:val="24"/>
              </w:rPr>
              <w:t xml:space="preserve">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80" w:leader="none"/>
              </w:tabs>
              <w:rPr>
                <w:sz w:val="24"/>
                <w:szCs w:val="24"/>
              </w:rPr>
            </w:pPr>
            <w:r>
              <w:rPr>
                <w:rStyle w:val="1034"/>
              </w:rPr>
              <w:t xml:space="preserve">- РД 153-34.0-20.518-2003 Типовая инструкция по защите трубопроводов, тепловых сетей от наружной коррозии</w:t>
            </w:r>
            <w:r>
              <w:rPr>
                <w:sz w:val="24"/>
                <w:szCs w:val="24"/>
              </w:rPr>
              <w:t xml:space="preserve">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80" w:leader="none"/>
              </w:tabs>
              <w:rPr>
                <w:sz w:val="24"/>
                <w:szCs w:val="24"/>
              </w:rPr>
            </w:pPr>
            <w:r>
              <w:rPr>
                <w:rStyle w:val="1034"/>
              </w:rPr>
              <w:t xml:space="preserve">- СП 28.13330.2017. Свод правил. Защита строительных конструкций и сооружений от коррозии (Изменение № 1, 2)</w:t>
            </w:r>
            <w:r>
              <w:rPr>
                <w:sz w:val="24"/>
                <w:szCs w:val="24"/>
              </w:rPr>
              <w:t xml:space="preserve">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69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Федеральный Закон РФ от 27.12.2002 № 184-ФЗ «О техническом регулировании» (*в действующей редакции);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69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Федеральный закон от 10.01.2002 № 7-ФЗ «Об охране окружающей среды» (с изменениями на 2 июля 2021 года);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69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Федеральный закон от 21.12.1994 № 69-ФЗ «О пожарной безопасности» (*в действующей редакции);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69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ГОСТ Р 1.4-2004 Стандартизация в Российской Федерации. Стандарты организации. Общие положения;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69" w:leader="none"/>
              </w:tabs>
              <w:rPr>
                <w:sz w:val="24"/>
                <w:szCs w:val="24"/>
              </w:rPr>
            </w:pPr>
            <w:r>
              <w:rPr>
                <w:rStyle w:val="1034"/>
              </w:rPr>
              <w:t xml:space="preserve">- Постановление от 23 июля 2001 года № 80. О принятии строительных норм и правил Российской Федерации «Безопасность труда в строительстве. Часть 1. Общие требования».</w:t>
            </w:r>
            <w:r>
              <w:rPr>
                <w:sz w:val="24"/>
                <w:szCs w:val="24"/>
              </w:rPr>
              <w:t xml:space="preserve">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69" w:leader="none"/>
              </w:tabs>
              <w:rPr>
                <w:sz w:val="24"/>
                <w:szCs w:val="24"/>
              </w:rPr>
            </w:pPr>
            <w:r>
              <w:rPr>
                <w:rStyle w:val="1034"/>
              </w:rPr>
              <w:t xml:space="preserve">- Постановление от 17 сентября 2002 года № 123. О принятии строительных норм и правил Российской Федерации «Безопасность труда в строительстве. Часть 2. Строительное производство»;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69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СП 48.13330.2019. Организация строительства</w:t>
            </w:r>
            <w:r>
              <w:rPr>
                <w:sz w:val="24"/>
                <w:szCs w:val="24"/>
              </w:rPr>
              <w:t xml:space="preserve">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69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</w:t>
            </w:r>
            <w:r>
              <w:rPr>
                <w:rStyle w:val="1034"/>
              </w:rPr>
              <w:t xml:space="preserve">СП 126.13330.2017. Геодезические работы в строительстве.</w:t>
            </w:r>
            <w:r>
              <w:rPr>
                <w:sz w:val="24"/>
                <w:szCs w:val="24"/>
              </w:rPr>
              <w:t xml:space="preserve">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90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СП 131.13330.2020. Строительная климатология</w:t>
            </w:r>
            <w:r>
              <w:rPr>
                <w:sz w:val="24"/>
                <w:szCs w:val="24"/>
              </w:rPr>
              <w:t xml:space="preserve">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90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СанПиН 2.2.1/2.1.1.1200-03 «Санитарно-защитные зоны и санитарная классификация предприятий, сооружений и иных объектов»;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590" w:leader="none"/>
                <w:tab w:val="left" w:pos="750" w:leader="none"/>
                <w:tab w:val="left" w:pos="954" w:leader="none"/>
              </w:tabs>
              <w:rPr>
                <w:rStyle w:val="1034"/>
              </w:rPr>
            </w:pPr>
            <w:r>
              <w:rPr>
                <w:rStyle w:val="1034"/>
              </w:rPr>
              <w:t xml:space="preserve">- Правила благоустройства городского округа «Город Благовещенск»;</w:t>
            </w:r>
            <w:r>
              <w:rPr>
                <w:rStyle w:val="1034"/>
              </w:rPr>
            </w:r>
            <w:r>
              <w:rPr>
                <w:rStyle w:val="1034"/>
              </w:rPr>
            </w:r>
          </w:p>
          <w:p>
            <w:pPr>
              <w:ind w:left="142" w:right="144" w:firstLine="121"/>
              <w:jc w:val="both"/>
              <w:spacing w:line="276" w:lineRule="auto"/>
              <w:widowControl w:val="off"/>
              <w:tabs>
                <w:tab w:val="left" w:pos="146" w:leader="none"/>
                <w:tab w:val="left" w:pos="430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Другие технические регламенты, строительные нормы и правила, федеральные нормы и правила, государственные отраслевые стандарт, стандарты организации и т.д.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numPr>
                <w:ilvl w:val="0"/>
                <w:numId w:val="28"/>
              </w:numPr>
              <w:ind w:left="142" w:right="144" w:firstLine="121"/>
              <w:jc w:val="both"/>
              <w:spacing w:line="276" w:lineRule="auto"/>
              <w:widowControl w:val="off"/>
              <w:tabs>
                <w:tab w:val="left" w:pos="590" w:leader="none"/>
                <w:tab w:val="left" w:pos="750" w:leader="none"/>
                <w:tab w:val="left" w:pos="954" w:leader="none"/>
              </w:tabs>
              <w:rPr>
                <w:rFonts w:eastAsia="Liberation Serif"/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Перечень не является исчерпывающим и при применении используются действующие редакции.</w:t>
            </w:r>
            <w:r>
              <w:rPr>
                <w:rFonts w:eastAsia="Liberation Serif"/>
                <w:color w:val="ff0000"/>
                <w:sz w:val="24"/>
                <w:szCs w:val="24"/>
              </w:rPr>
            </w:r>
            <w:r>
              <w:rPr>
                <w:rFonts w:eastAsia="Liberation Serif"/>
                <w:color w:val="ff0000"/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</w:tcBorders>
            <w:tcW w:w="57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>
          <w:trHeight w:val="41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ind w:left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16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00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Требования к конфиденциальности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42" w:right="158" w:firstLine="159"/>
              <w:jc w:val="both"/>
              <w:spacing w:line="300" w:lineRule="auto"/>
              <w:tabs>
                <w:tab w:val="left" w:pos="382" w:leader="none"/>
              </w:tabs>
              <w:rPr>
                <w:rFonts w:eastAsia="Liberation Serif"/>
                <w:sz w:val="24"/>
                <w:szCs w:val="24"/>
              </w:rPr>
              <w:pBdr>
                <w:top w:val="none" w:color="000000" w:sz="4" w:space="0"/>
                <w:left w:val="none" w:color="000000" w:sz="4" w:space="0"/>
                <w:bottom w:val="none" w:color="000000" w:sz="4" w:space="0"/>
                <w:right w:val="none" w:color="000000" w:sz="4" w:space="0"/>
                <w:between w:val="none" w:color="000000" w:sz="4" w:space="0"/>
              </w:pBdr>
            </w:pPr>
            <w:r>
              <w:rPr>
                <w:rFonts w:eastAsia="Liberation Serif"/>
                <w:sz w:val="24"/>
                <w:szCs w:val="24"/>
              </w:rPr>
              <w:t xml:space="preserve">Подрядчик</w:t>
            </w:r>
            <w:r>
              <w:rPr>
                <w:rFonts w:eastAsia="Liberation Serif"/>
                <w:sz w:val="24"/>
                <w:szCs w:val="24"/>
              </w:rPr>
              <w:t xml:space="preserve"> обязан соблюдать требования, предъявляемые дейс</w:t>
            </w:r>
            <w:r>
              <w:rPr>
                <w:rFonts w:eastAsia="Liberation Serif"/>
                <w:sz w:val="24"/>
                <w:szCs w:val="24"/>
              </w:rPr>
              <w:t xml:space="preserve">твующим законодательством РФ, локальными нормативными актами и приказами Общества, к работе с документами и сведениями, содержащими конфиденциальную информацию и не разглашать конфиденциальную информацию, ставшую ему известной в процессе выполнения работ. 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>
          <w:trHeight w:val="41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ind w:left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17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Документация, выдаваемая 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заказчику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contextualSpacing/>
              <w:ind w:left="159" w:right="144" w:firstLine="289"/>
              <w:jc w:val="bot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Четыре экземпляра в бумажном виде и один экземпляр на электронном носителе (на </w:t>
            </w:r>
            <w:r>
              <w:rPr>
                <w:sz w:val="24"/>
                <w:lang w:val="en-US"/>
              </w:rPr>
              <w:t xml:space="preserve">USB</w:t>
            </w:r>
            <w:r>
              <w:rPr>
                <w:sz w:val="24"/>
              </w:rPr>
              <w:t xml:space="preserve">-носителе).</w:t>
            </w:r>
            <w:r>
              <w:rPr>
                <w:sz w:val="24"/>
              </w:rPr>
            </w:r>
            <w:r>
              <w:rPr>
                <w:sz w:val="24"/>
              </w:rPr>
            </w:r>
          </w:p>
          <w:p>
            <w:pPr>
              <w:contextualSpacing/>
              <w:ind w:left="159" w:right="144" w:firstLine="289"/>
              <w:jc w:val="bot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электронном носителе.</w:t>
            </w:r>
            <w:r>
              <w:rPr>
                <w:sz w:val="24"/>
              </w:rPr>
            </w:r>
            <w:r>
              <w:rPr>
                <w:sz w:val="24"/>
              </w:rPr>
            </w:r>
          </w:p>
          <w:p>
            <w:pPr>
              <w:contextualSpacing/>
              <w:ind w:left="159" w:right="144" w:firstLine="289"/>
              <w:jc w:val="bot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Формат передаваемой в электронном виде документации:</w:t>
            </w:r>
            <w:r>
              <w:rPr>
                <w:sz w:val="24"/>
              </w:rPr>
            </w:r>
            <w:r>
              <w:rPr>
                <w:sz w:val="24"/>
              </w:rPr>
            </w:r>
          </w:p>
          <w:p>
            <w:pPr>
              <w:contextualSpacing/>
              <w:ind w:left="159" w:right="144" w:firstLine="289"/>
              <w:jc w:val="bot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- текстовая часть – doc, pdf (пояснительная записка и «ПОС» обязательно в pdf и doc) с подписями и печатями на титульных листах;</w:t>
            </w:r>
            <w:r>
              <w:rPr>
                <w:sz w:val="24"/>
              </w:rPr>
            </w:r>
            <w:r>
              <w:rPr>
                <w:sz w:val="24"/>
              </w:rPr>
            </w:r>
          </w:p>
          <w:p>
            <w:pPr>
              <w:contextualSpacing/>
              <w:ind w:left="159" w:right="144" w:firstLine="289"/>
              <w:jc w:val="bot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- графическая часть -  dwg, pdf;</w:t>
            </w:r>
            <w:r>
              <w:rPr>
                <w:sz w:val="24"/>
              </w:rPr>
            </w:r>
            <w:r>
              <w:rPr>
                <w:sz w:val="24"/>
              </w:rPr>
            </w:r>
          </w:p>
          <w:p>
            <w:pPr>
              <w:contextualSpacing/>
              <w:ind w:left="159" w:right="144" w:firstLine="289"/>
              <w:jc w:val="bot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- таблицы данных - doc, pdf, xls;</w:t>
            </w:r>
            <w:r>
              <w:rPr>
                <w:sz w:val="24"/>
              </w:rPr>
            </w:r>
            <w:r>
              <w:rPr>
                <w:sz w:val="24"/>
              </w:rPr>
            </w:r>
          </w:p>
          <w:p>
            <w:pPr>
              <w:ind w:left="159" w:right="144" w:firstLine="284"/>
              <w:jc w:val="both"/>
              <w:spacing w:line="276" w:lineRule="auto"/>
              <w:rPr>
                <w:rFonts w:eastAsia="Liberation Serif"/>
                <w:sz w:val="24"/>
                <w:szCs w:val="24"/>
              </w:rPr>
            </w:pPr>
            <w:r>
              <w:rPr>
                <w:sz w:val="24"/>
              </w:rPr>
              <w:t xml:space="preserve">- сметную документацию – в формате «ГРАНД-смета» - gsfх ;   xlsхи pdf.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  <w:tr>
        <w:tblPrEx/>
        <w:trPr>
          <w:trHeight w:val="59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30" w:type="dxa"/>
            <w:vAlign w:val="center"/>
            <w:textDirection w:val="lrTb"/>
            <w:noWrap w:val="false"/>
          </w:tcPr>
          <w:p>
            <w:pPr>
              <w:ind w:left="170"/>
              <w:jc w:val="center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18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ind w:left="142" w:right="82"/>
              <w:spacing w:line="324" w:lineRule="auto"/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  <w:t xml:space="preserve">Приложения</w:t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6440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spacing w:line="324" w:lineRule="auto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  <w:t xml:space="preserve">1. Схема реконструируемого участка тепловой сети.</w:t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gridSpan w:val="3"/>
            <w:tcBorders>
              <w:left w:val="single" w:color="000000" w:sz="4" w:space="0"/>
            </w:tcBorders>
            <w:tcW w:w="10515" w:type="dxa"/>
            <w:vAlign w:val="center"/>
            <w:textDirection w:val="lrTb"/>
            <w:noWrap w:val="false"/>
          </w:tcPr>
          <w:p>
            <w:pPr>
              <w:ind w:left="142" w:right="158"/>
              <w:jc w:val="both"/>
              <w:rPr>
                <w:rFonts w:eastAsia="Liberation Serif"/>
                <w:sz w:val="24"/>
                <w:szCs w:val="24"/>
              </w:rPr>
            </w:pP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  <w:r>
              <w:rPr>
                <w:rFonts w:eastAsia="Liberation Serif"/>
                <w:sz w:val="24"/>
                <w:szCs w:val="24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  <w:tc>
          <w:tcPr>
            <w:tcW w:w="57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  <w:sz w:val="24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  <w:r>
              <w:rPr>
                <w:rFonts w:ascii="Liberation Serif" w:hAnsi="Liberation Serif" w:eastAsia="Liberation Serif" w:cs="Liberation Serif"/>
                <w:sz w:val="24"/>
                <w:szCs w:val="22"/>
              </w:rPr>
            </w:r>
          </w:p>
        </w:tc>
      </w:tr>
    </w:tbl>
    <w:p>
      <w:pPr>
        <w:tabs>
          <w:tab w:val="left" w:pos="2431" w:leader="none"/>
        </w:tabs>
      </w:pPr>
      <w:r/>
      <w:r/>
    </w:p>
    <w:p>
      <w:pPr>
        <w:tabs>
          <w:tab w:val="left" w:pos="2431" w:leader="none"/>
        </w:tabs>
      </w:pPr>
      <w:r/>
      <w:r/>
    </w:p>
    <w:p>
      <w:pPr>
        <w:tabs>
          <w:tab w:val="left" w:pos="2431" w:leader="none"/>
        </w:tabs>
      </w:pPr>
      <w:r/>
      <w:r/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right"/>
        <w:tabs>
          <w:tab w:val="left" w:pos="2431" w:leader="none"/>
        </w:tabs>
        <w:rPr>
          <w:sz w:val="24"/>
          <w:szCs w:val="24"/>
          <w:highlight w:val="none"/>
        </w:rPr>
      </w:pPr>
      <w:r>
        <w:rPr>
          <w:sz w:val="24"/>
          <w:szCs w:val="24"/>
          <w:highlight w:val="none"/>
        </w:rPr>
        <w:t xml:space="preserve">Приложение 1 к ТЗ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jc w:val="center"/>
        <w:tabs>
          <w:tab w:val="left" w:pos="2431" w:leader="none"/>
        </w:tabs>
        <w:rPr>
          <w:sz w:val="24"/>
          <w:szCs w:val="24"/>
        </w:rPr>
      </w:pPr>
      <w:r>
        <w:rPr>
          <w:sz w:val="24"/>
          <w:szCs w:val="24"/>
          <w:highlight w:val="none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tabs>
          <w:tab w:val="left" w:pos="2431" w:leader="none"/>
        </w:tabs>
        <w:rPr>
          <w:sz w:val="24"/>
          <w:szCs w:val="24"/>
          <w:highlight w:val="none"/>
        </w:rPr>
      </w:pP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jc w:val="center"/>
        <w:tabs>
          <w:tab w:val="left" w:pos="2431" w:leader="none"/>
        </w:tabs>
        <w:rPr>
          <w:sz w:val="24"/>
          <w:szCs w:val="24"/>
          <w:highlight w:val="none"/>
        </w:rPr>
      </w:pPr>
      <w:r>
        <w:rPr>
          <w:sz w:val="24"/>
          <w:szCs w:val="24"/>
          <w:highlight w:val="none"/>
        </w:rPr>
        <w:t xml:space="preserve">Схема тепловой сети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jc w:val="center"/>
        <w:tabs>
          <w:tab w:val="left" w:pos="2431" w:leader="none"/>
        </w:tabs>
        <w:rPr>
          <w:sz w:val="24"/>
          <w:szCs w:val="24"/>
          <w:highlight w:val="none"/>
        </w:rPr>
      </w:pP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jc w:val="center"/>
        <w:tabs>
          <w:tab w:val="left" w:pos="2431" w:leader="none"/>
        </w:tabs>
        <w:rPr>
          <w:sz w:val="24"/>
          <w:szCs w:val="24"/>
          <w:highlight w:val="none"/>
        </w:rPr>
      </w:pPr>
      <w:r>
        <w:rPr>
          <w:sz w:val="24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84900" cy="4638675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8995321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6184899" cy="46386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87.00pt;height:365.25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sectPr>
      <w:footerReference w:type="default" r:id="rId9"/>
      <w:footnotePr/>
      <w:endnotePr/>
      <w:type w:val="nextPage"/>
      <w:pgSz w:w="11906" w:h="16838" w:orient="portrait"/>
      <w:pgMar w:top="709" w:right="1083" w:bottom="1440" w:left="1083" w:header="720" w:footer="720" w:gutter="0"/>
      <w:cols w:num="1" w:sep="0" w:space="720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</w:font>
  <w:font w:name="Liberation Serif">
    <w:panose1 w:val="02020603050405020304"/>
  </w:font>
  <w:font w:name="Tahoma">
    <w:panose1 w:val="020B0604030504040204"/>
  </w:font>
  <w:font w:name="Courier New">
    <w:panose1 w:val="02070309020205020404"/>
  </w:font>
  <w:font w:name="Symbol">
    <w:panose1 w:val="05010000000000000000"/>
  </w:font>
  <w:font w:name="Times New Roman">
    <w:panose1 w:val="02020603050405020304"/>
  </w:font>
  <w:font w:name="Microsoft YaHei">
    <w:panose1 w:val="020B0503020204020204"/>
  </w:font>
  <w:font w:name="Wingdings">
    <w:panose1 w:val="05010000000000000000"/>
  </w:font>
  <w:font w:name="Liberation Sans">
    <w:panose1 w:val="020B0604020202020204"/>
  </w:font>
  <w:font w:name="Arial">
    <w:panose1 w:val="020B0604020202020204"/>
  </w:font>
  <w:font w:name="Cambria">
    <w:panose1 w:val="020408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849"/>
      <w:jc w:val="right"/>
    </w:pPr>
    <w:r>
      <w:fldChar w:fldCharType="begin"/>
    </w:r>
    <w:r>
      <w:instrText xml:space="preserve">PAGE   \* MERGEFORMAT</w:instrText>
    </w:r>
    <w:r>
      <w:fldChar w:fldCharType="separate"/>
    </w:r>
    <w:r>
      <w:t xml:space="preserve">10</w:t>
    </w:r>
    <w:r>
      <w:fldChar w:fldCharType="end"/>
    </w:r>
    <w:r/>
  </w:p>
  <w:p>
    <w:pPr>
      <w:pStyle w:val="849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20"/>
      <w:numFmt w:val="decimal"/>
      <w:isLgl w:val="false"/>
      <w:suff w:val="tab"/>
      <w:lvlText w:val="%1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</w:lvl>
  </w:abstractNum>
  <w:abstractNum w:abstractNumId="1">
    <w:multiLevelType w:val="hybridMultilevel"/>
    <w:lvl w:ilvl="0">
      <w:start w:val="20"/>
      <w:numFmt w:val="decimal"/>
      <w:isLgl w:val="false"/>
      <w:suff w:val="tab"/>
      <w:lvlText w:val="%1"/>
      <w:lvlJc w:val="left"/>
      <w:pPr>
        <w:ind w:left="122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94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66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38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10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82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54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26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988" w:hanging="180"/>
      </w:p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31" w:hanging="247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-"/>
      <w:lvlJc w:val="left"/>
      <w:pPr/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73" w:hanging="360"/>
      </w:pPr>
      <w:rPr>
        <w:sz w:val="24"/>
        <w:szCs w:val="24"/>
      </w:rPr>
    </w:lvl>
    <w:lvl w:ilvl="1">
      <w:start w:val="1"/>
      <w:numFmt w:val="lowerLetter"/>
      <w:isLgl w:val="false"/>
      <w:suff w:val="tab"/>
      <w:lvlText w:val="%2."/>
      <w:lvlJc w:val="left"/>
      <w:pPr>
        <w:ind w:left="1193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913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633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353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73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93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513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233" w:hanging="180"/>
      </w:pPr>
    </w:lvl>
  </w:abstractNum>
  <w:abstractNum w:abstractNumId="5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8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7">
    <w:multiLevelType w:val="hybridMultilevel"/>
    <w:lvl w:ilvl="0">
      <w:start w:val="1"/>
      <w:numFmt w:val="bullet"/>
      <w:isLgl w:val="false"/>
      <w:suff w:val="tab"/>
      <w:lvlText w:val="-"/>
      <w:lvlJc w:val="left"/>
      <w:pPr/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6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1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9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6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3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5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229" w:hanging="180"/>
      </w:p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73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193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913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633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353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73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93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513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233" w:hanging="180"/>
      </w:p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"/>
      <w:lvlJc w:val="left"/>
      <w:pPr>
        <w:ind w:left="0" w:firstLine="0"/>
      </w:pPr>
      <w:rPr>
        <w:rFonts w:ascii="Symbol" w:hAnsi="Symbol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2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3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4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5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6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7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8">
      <w:start w:val="1"/>
      <w:numFmt w:val="decimal"/>
      <w:isLgl w:val="false"/>
      <w:suff w:val="tab"/>
      <w:lvlText w:val=""/>
      <w:lvlJc w:val="left"/>
      <w:pPr>
        <w:ind w:left="0" w:firstLine="0"/>
      </w:p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360" w:hanging="360"/>
        <w:tabs>
          <w:tab w:val="num" w:pos="360" w:leader="none"/>
        </w:tabs>
      </w:pPr>
      <w:rPr>
        <w:rFonts w:ascii="Times New Roman" w:hAnsi="Times New Roman"/>
        <w:sz w:val="28"/>
        <w:szCs w:val="28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2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502" w:hanging="360"/>
      </w:pPr>
      <w:rPr>
        <w:rFonts w:hint="default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222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942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662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382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102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822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542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262" w:hanging="180"/>
      </w:pPr>
    </w:lvl>
  </w:abstractNum>
  <w:abstractNum w:abstractNumId="13">
    <w:multiLevelType w:val="hybridMultilevel"/>
    <w:lvl w:ilvl="0">
      <w:start w:val="1"/>
      <w:numFmt w:val="bullet"/>
      <w:isLgl w:val="false"/>
      <w:suff w:val="tab"/>
      <w:lvlText w:val=""/>
      <w:lvlJc w:val="left"/>
      <w:pPr>
        <w:ind w:left="1112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832" w:hanging="360"/>
      </w:pPr>
      <w:rPr>
        <w:rFonts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552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272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992" w:hanging="360"/>
      </w:pPr>
      <w:rPr>
        <w:rFonts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712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432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152" w:hanging="360"/>
      </w:pPr>
      <w:rPr>
        <w:rFonts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872" w:hanging="360"/>
      </w:pPr>
      <w:rPr>
        <w:rFonts w:ascii="Wingdings" w:hAnsi="Wingdings"/>
      </w:rPr>
    </w:lvl>
  </w:abstractNum>
  <w:abstractNum w:abstractNumId="14">
    <w:multiLevelType w:val="hybridMultilevel"/>
    <w:lvl w:ilvl="0">
      <w:start w:val="20"/>
      <w:numFmt w:val="decimal"/>
      <w:isLgl w:val="false"/>
      <w:suff w:val="tab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5">
    <w:multiLevelType w:val="hybridMultilevel"/>
    <w:lvl w:ilvl="0">
      <w:start w:val="1"/>
      <w:numFmt w:val="bullet"/>
      <w:isLgl w:val="false"/>
      <w:suff w:val="tab"/>
      <w:lvlText w:val=""/>
      <w:lvlJc w:val="left"/>
      <w:pPr>
        <w:ind w:left="833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553" w:hanging="360"/>
      </w:pPr>
      <w:rPr>
        <w:rFonts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273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993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713" w:hanging="360"/>
      </w:pPr>
      <w:rPr>
        <w:rFonts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433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153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873" w:hanging="360"/>
      </w:pPr>
      <w:rPr>
        <w:rFonts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593" w:hanging="360"/>
      </w:pPr>
      <w:rPr>
        <w:rFonts w:ascii="Wingdings" w:hAnsi="Wingdings"/>
      </w:rPr>
    </w:lvl>
  </w:abstractNum>
  <w:abstractNum w:abstractNumId="1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6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1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9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6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3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5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229" w:hanging="180"/>
      </w:pPr>
    </w:lvl>
  </w:abstractNum>
  <w:abstractNum w:abstractNumId="17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36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360" w:hanging="360"/>
      </w:pPr>
      <w:rPr>
        <w:strike w:val="0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108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440" w:hanging="1440"/>
      </w:p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52" w:hanging="360"/>
      </w:pPr>
    </w:lvl>
    <w:lvl w:ilvl="1">
      <w:start w:val="3"/>
      <w:numFmt w:val="decimal"/>
      <w:isLgl w:val="false"/>
      <w:suff w:val="tab"/>
      <w:lvlText w:val="%1.%2."/>
      <w:lvlJc w:val="left"/>
      <w:pPr>
        <w:ind w:left="752" w:hanging="360"/>
      </w:pPr>
    </w:lvl>
    <w:lvl w:ilvl="2">
      <w:start w:val="1"/>
      <w:numFmt w:val="decimal"/>
      <w:isLgl w:val="false"/>
      <w:suff w:val="tab"/>
      <w:lvlText w:val="%1.%2.%3."/>
      <w:lvlJc w:val="left"/>
      <w:pPr>
        <w:ind w:left="1112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112" w:hanging="72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1472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1472" w:hanging="108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1832" w:hanging="144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32" w:hanging="144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92" w:hanging="1800"/>
      </w:pPr>
    </w:lvl>
  </w:abstractNum>
  <w:abstractNum w:abstractNumId="1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6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1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9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6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3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5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229" w:hanging="180"/>
      </w:pPr>
    </w:lvl>
  </w:abstractNum>
  <w:abstractNum w:abstractNumId="20">
    <w:multiLevelType w:val="hybridMultilevel"/>
    <w:lvl w:ilvl="0">
      <w:start w:val="1"/>
      <w:numFmt w:val="bullet"/>
      <w:isLgl w:val="false"/>
      <w:suff w:val="tab"/>
      <w:lvlText w:val="-"/>
      <w:lvlJc w:val="left"/>
      <w:pPr/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21">
    <w:multiLevelType w:val="hybridMultilevel"/>
    <w:lvl w:ilvl="0">
      <w:start w:val="1"/>
      <w:numFmt w:val="decimal"/>
      <w:isLgl w:val="false"/>
      <w:suff w:val="tab"/>
      <w:lvlText w:val="16.%1"/>
      <w:lvlJc w:val="left"/>
      <w:pPr/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2204" w:hanging="360"/>
      </w:pPr>
      <w:rPr>
        <w:b/>
      </w:rPr>
    </w:lvl>
    <w:lvl w:ilvl="1">
      <w:start w:val="1"/>
      <w:numFmt w:val="decimal"/>
      <w:isLgl w:val="false"/>
      <w:suff w:val="tab"/>
      <w:lvlText w:val="%1.%2."/>
      <w:lvlJc w:val="left"/>
      <w:pPr>
        <w:ind w:left="1142" w:hanging="432"/>
      </w:pPr>
      <w:rPr>
        <w:b w:val="0"/>
        <w:u w:val="none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072" w:hanging="504"/>
      </w:pPr>
      <w:rPr>
        <w:b w:val="0"/>
        <w:sz w:val="24"/>
        <w:szCs w:val="24"/>
      </w:rPr>
    </w:lvl>
    <w:lvl w:ilvl="3">
      <w:start w:val="1"/>
      <w:numFmt w:val="bullet"/>
      <w:isLgl w:val="false"/>
      <w:suff w:val="tab"/>
      <w:lvlText w:val=""/>
      <w:lvlJc w:val="left"/>
      <w:pPr>
        <w:ind w:left="2917" w:hanging="648"/>
      </w:pPr>
      <w:rPr>
        <w:rFonts w:hint="default" w:ascii="Symbol" w:hAnsi="Symbol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</w:pPr>
    </w:lvl>
  </w:abstractNum>
  <w:abstractNum w:abstractNumId="23">
    <w:multiLevelType w:val="hybridMultilevel"/>
    <w:lvl w:ilvl="0">
      <w:start w:val="24"/>
      <w:numFmt w:val="decimal"/>
      <w:isLgl w:val="false"/>
      <w:suff w:val="tab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222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942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662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382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102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822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542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262" w:hanging="180"/>
      </w:pPr>
    </w:lvl>
  </w:abstractNum>
  <w:abstractNum w:abstractNumId="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25">
    <w:multiLevelType w:val="hybridMultilevel"/>
    <w:lvl w:ilvl="0">
      <w:start w:val="1"/>
      <w:numFmt w:val="decimal"/>
      <w:pStyle w:val="816"/>
      <w:isLgl w:val="false"/>
      <w:suff w:val="nothing"/>
      <w:lvlText w:val=""/>
      <w:lvlJc w:val="left"/>
      <w:pPr>
        <w:ind w:left="432" w:hanging="432"/>
        <w:tabs>
          <w:tab w:val="num" w:pos="0" w:leader="none"/>
        </w:tabs>
      </w:pPr>
    </w:lvl>
    <w:lvl w:ilvl="1">
      <w:start w:val="1"/>
      <w:numFmt w:val="decimal"/>
      <w:isLgl w:val="false"/>
      <w:suff w:val="nothing"/>
      <w:lvlText w:val=""/>
      <w:lvlJc w:val="left"/>
      <w:pPr>
        <w:ind w:left="576" w:hanging="576"/>
        <w:tabs>
          <w:tab w:val="num" w:pos="576" w:leader="none"/>
        </w:tabs>
      </w:pPr>
    </w:lvl>
    <w:lvl w:ilvl="2">
      <w:start w:val="1"/>
      <w:numFmt w:val="decimal"/>
      <w:isLgl w:val="false"/>
      <w:suff w:val="nothing"/>
      <w:lvlText w:val=""/>
      <w:lvlJc w:val="left"/>
      <w:pPr>
        <w:ind w:left="720" w:hanging="720"/>
        <w:tabs>
          <w:tab w:val="num" w:pos="720" w:leader="none"/>
        </w:tabs>
      </w:pPr>
    </w:lvl>
    <w:lvl w:ilvl="3">
      <w:start w:val="1"/>
      <w:numFmt w:val="decimal"/>
      <w:isLgl w:val="false"/>
      <w:suff w:val="nothing"/>
      <w:lvlText w:val=""/>
      <w:lvlJc w:val="left"/>
      <w:pPr>
        <w:ind w:left="864" w:hanging="864"/>
        <w:tabs>
          <w:tab w:val="num" w:pos="864" w:leader="none"/>
        </w:tabs>
      </w:pPr>
    </w:lvl>
    <w:lvl w:ilvl="4">
      <w:start w:val="1"/>
      <w:numFmt w:val="decimal"/>
      <w:isLgl w:val="false"/>
      <w:suff w:val="nothing"/>
      <w:lvlText w:val=""/>
      <w:lvlJc w:val="left"/>
      <w:pPr>
        <w:ind w:left="1008" w:hanging="1008"/>
        <w:tabs>
          <w:tab w:val="num" w:pos="1008" w:leader="none"/>
        </w:tabs>
      </w:pPr>
    </w:lvl>
    <w:lvl w:ilvl="5">
      <w:start w:val="1"/>
      <w:numFmt w:val="decimal"/>
      <w:isLgl w:val="false"/>
      <w:suff w:val="nothing"/>
      <w:lvlText w:val=""/>
      <w:lvlJc w:val="left"/>
      <w:pPr>
        <w:ind w:left="1152" w:hanging="1152"/>
        <w:tabs>
          <w:tab w:val="num" w:pos="1152" w:leader="none"/>
        </w:tabs>
      </w:pPr>
    </w:lvl>
    <w:lvl w:ilvl="6">
      <w:start w:val="1"/>
      <w:numFmt w:val="decimal"/>
      <w:isLgl w:val="false"/>
      <w:suff w:val="nothing"/>
      <w:lvlText w:val=""/>
      <w:lvlJc w:val="left"/>
      <w:pPr>
        <w:ind w:left="1296" w:hanging="1296"/>
        <w:tabs>
          <w:tab w:val="num" w:pos="1296" w:leader="none"/>
        </w:tabs>
      </w:pPr>
    </w:lvl>
    <w:lvl w:ilvl="7">
      <w:start w:val="1"/>
      <w:numFmt w:val="decimal"/>
      <w:isLgl w:val="false"/>
      <w:suff w:val="nothing"/>
      <w:lvlText w:val=""/>
      <w:lvlJc w:val="left"/>
      <w:pPr>
        <w:ind w:left="1440" w:hanging="1440"/>
        <w:tabs>
          <w:tab w:val="num" w:pos="1440" w:leader="none"/>
        </w:tabs>
      </w:pPr>
    </w:lvl>
    <w:lvl w:ilvl="8">
      <w:start w:val="1"/>
      <w:numFmt w:val="decimal"/>
      <w:isLgl w:val="false"/>
      <w:suff w:val="nothing"/>
      <w:lvlText w:val=""/>
      <w:lvlJc w:val="left"/>
      <w:pPr>
        <w:ind w:left="1584" w:hanging="1584"/>
        <w:tabs>
          <w:tab w:val="num" w:pos="1584" w:leader="none"/>
        </w:tabs>
      </w:pPr>
    </w:lvl>
  </w:abstractNum>
  <w:abstractNum w:abstractNumId="26">
    <w:multiLevelType w:val="hybridMultilevel"/>
    <w:lvl w:ilvl="0">
      <w:start w:val="1"/>
      <w:numFmt w:val="decimal"/>
      <w:isLgl w:val="false"/>
      <w:suff w:val="tab"/>
      <w:lvlText w:val="16.2.%1"/>
      <w:lvlJc w:val="left"/>
      <w:pPr/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27">
    <w:multiLevelType w:val="hybridMultilevel"/>
    <w:lvl w:ilvl="0">
      <w:start w:val="2"/>
      <w:numFmt w:val="decimal"/>
      <w:isLgl w:val="false"/>
      <w:suff w:val="tab"/>
      <w:lvlText w:val="17.%1"/>
      <w:lvlJc w:val="left"/>
      <w:pPr/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28">
    <w:multiLevelType w:val="hybridMultilevel"/>
    <w:lvl w:ilvl="0">
      <w:start w:val="6"/>
      <w:numFmt w:val="decimal"/>
      <w:isLgl w:val="false"/>
      <w:suff w:val="tab"/>
      <w:lvlText w:val="%1."/>
      <w:lvlJc w:val="left"/>
      <w:pPr>
        <w:ind w:left="502" w:hanging="360"/>
      </w:pPr>
      <w:rPr>
        <w:rFonts w:hint="default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9">
    <w:multiLevelType w:val="hybridMultilevel"/>
    <w:lvl w:ilvl="0">
      <w:start w:val="1"/>
      <w:numFmt w:val="decimal"/>
      <w:isLgl w:val="false"/>
      <w:suff w:val="space"/>
      <w:lvlText w:val="25.%1"/>
      <w:lvlJc w:val="left"/>
      <w:pPr>
        <w:ind w:left="0" w:firstLine="0"/>
      </w:pPr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2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3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4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5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6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7">
      <w:start w:val="1"/>
      <w:numFmt w:val="decimal"/>
      <w:isLgl w:val="false"/>
      <w:suff w:val="tab"/>
      <w:lvlText w:val=""/>
      <w:lvlJc w:val="left"/>
      <w:pPr>
        <w:ind w:left="0" w:firstLine="0"/>
      </w:pPr>
    </w:lvl>
    <w:lvl w:ilvl="8">
      <w:start w:val="1"/>
      <w:numFmt w:val="decimal"/>
      <w:isLgl w:val="false"/>
      <w:suff w:val="tab"/>
      <w:lvlText w:val=""/>
      <w:lvlJc w:val="left"/>
      <w:pPr>
        <w:ind w:left="0" w:firstLine="0"/>
      </w:pPr>
    </w:lvl>
  </w:abstractNum>
  <w:abstractNum w:abstractNumId="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2204" w:hanging="360"/>
      </w:pPr>
      <w:rPr>
        <w:b/>
      </w:rPr>
    </w:lvl>
    <w:lvl w:ilvl="1">
      <w:start w:val="1"/>
      <w:numFmt w:val="decimal"/>
      <w:isLgl w:val="false"/>
      <w:suff w:val="tab"/>
      <w:lvlText w:val="%1.%2."/>
      <w:lvlJc w:val="left"/>
      <w:pPr>
        <w:ind w:left="1000" w:hanging="432"/>
      </w:pPr>
      <w:rPr>
        <w:b w:val="0"/>
        <w:u w:val="none"/>
      </w:rPr>
    </w:lvl>
    <w:lvl w:ilvl="2">
      <w:start w:val="1"/>
      <w:numFmt w:val="decimal"/>
      <w:isLgl w:val="false"/>
      <w:suff w:val="tab"/>
      <w:lvlText w:val="%1.%2.%3."/>
      <w:lvlJc w:val="left"/>
      <w:pPr>
        <w:ind w:left="3907" w:hanging="504"/>
      </w:pPr>
      <w:rPr>
        <w:b w:val="0"/>
        <w:sz w:val="24"/>
        <w:szCs w:val="24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917" w:hanging="648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</w:pPr>
    </w:lvl>
  </w:abstractNum>
  <w:abstractNum w:abstractNumId="31">
    <w:multiLevelType w:val="hybridMultilevel"/>
    <w:lvl w:ilvl="0">
      <w:start w:val="1"/>
      <w:numFmt w:val="decimal"/>
      <w:isLgl w:val="false"/>
      <w:suff w:val="tab"/>
      <w:lvlText w:val="14.%1."/>
      <w:lvlJc w:val="left"/>
      <w:pPr/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32">
    <w:multiLevelType w:val="hybridMultilevel"/>
    <w:lvl w:ilvl="0">
      <w:start w:val="1"/>
      <w:numFmt w:val="bullet"/>
      <w:isLgl w:val="false"/>
      <w:suff w:val="tab"/>
      <w:lvlText w:val=""/>
      <w:lvlJc w:val="left"/>
      <w:pPr>
        <w:ind w:left="829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549" w:hanging="360"/>
      </w:pPr>
      <w:rPr>
        <w:rFonts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269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989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709" w:hanging="360"/>
      </w:pPr>
      <w:rPr>
        <w:rFonts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429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149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869" w:hanging="360"/>
      </w:pPr>
      <w:rPr>
        <w:rFonts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589" w:hanging="360"/>
      </w:pPr>
      <w:rPr>
        <w:rFonts w:ascii="Wingdings" w:hAnsi="Wingdings"/>
      </w:rPr>
    </w:lvl>
  </w:abstractNum>
  <w:abstractNum w:abstractNumId="3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8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4">
    <w:multiLevelType w:val="hybridMultilevel"/>
    <w:lvl w:ilvl="0">
      <w:start w:val="2"/>
      <w:numFmt w:val="decimal"/>
      <w:isLgl w:val="false"/>
      <w:suff w:val="tab"/>
      <w:lvlText w:val="9.%1."/>
      <w:lvlJc w:val="left"/>
      <w:pPr/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35">
    <w:multiLevelType w:val="hybridMultilevel"/>
    <w:lvl w:ilvl="0">
      <w:start w:val="1"/>
      <w:numFmt w:val="bullet"/>
      <w:isLgl w:val="false"/>
      <w:suff w:val="tab"/>
      <w:lvlText w:val=""/>
      <w:lvlJc w:val="left"/>
      <w:pPr>
        <w:ind w:left="1112" w:hanging="360"/>
      </w:pPr>
      <w:rPr>
        <w:rFonts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832" w:hanging="360"/>
      </w:pPr>
      <w:rPr>
        <w:rFonts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552" w:hanging="360"/>
      </w:pPr>
      <w:rPr>
        <w:rFonts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272" w:hanging="360"/>
      </w:pPr>
      <w:rPr>
        <w:rFonts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992" w:hanging="360"/>
      </w:pPr>
      <w:rPr>
        <w:rFonts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712" w:hanging="360"/>
      </w:pPr>
      <w:rPr>
        <w:rFonts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432" w:hanging="360"/>
      </w:pPr>
      <w:rPr>
        <w:rFonts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152" w:hanging="360"/>
      </w:pPr>
      <w:rPr>
        <w:rFonts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872" w:hanging="360"/>
      </w:pPr>
      <w:rPr>
        <w:rFonts w:ascii="Wingdings" w:hAnsi="Wingdings"/>
      </w:rPr>
    </w:lvl>
  </w:abstractNum>
  <w:abstractNum w:abstractNumId="36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36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360" w:hanging="360"/>
      </w:pPr>
      <w:rPr>
        <w:strike w:val="0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108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440" w:hanging="1440"/>
      </w:pPr>
    </w:lvl>
  </w:abstractNum>
  <w:abstractNum w:abstractNumId="3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85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505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225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945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65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85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105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825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545" w:hanging="180"/>
      </w:pPr>
    </w:lvl>
  </w:abstractNum>
  <w:abstractNum w:abstractNumId="38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720" w:hanging="360"/>
      </w:pPr>
      <w:rPr>
        <w:rFonts w:ascii="Symbol" w:hAnsi="Symbol" w:cs="Symbol"/>
        <w:color w:val="auto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9">
    <w:multiLevelType w:val="hybridMultilevel"/>
    <w:lvl w:ilvl="0">
      <w:start w:val="1"/>
      <w:numFmt w:val="bullet"/>
      <w:isLgl w:val="false"/>
      <w:suff w:val="tab"/>
      <w:lvlText w:val=""/>
      <w:lvlJc w:val="left"/>
      <w:pPr>
        <w:ind w:left="842" w:hanging="360"/>
      </w:pPr>
      <w:rPr>
        <w:rFonts w:ascii="Wingdings" w:hAnsi="Wingdings"/>
      </w:rPr>
    </w:lvl>
    <w:lvl w:ilvl="1">
      <w:start w:val="1"/>
      <w:numFmt w:val="decimal"/>
      <w:isLgl w:val="false"/>
      <w:suff w:val="tab"/>
      <w:lvlText w:val="%2."/>
      <w:lvlJc w:val="left"/>
      <w:pPr>
        <w:ind w:left="1515" w:hanging="705"/>
      </w:pPr>
      <w:rPr>
        <w:rFonts w:ascii="Times New Roman" w:hAnsi="Times New Roman" w:eastAsia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189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61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33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5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7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49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210" w:hanging="180"/>
      </w:pPr>
    </w:lvl>
  </w:abstractNum>
  <w:abstractNum w:abstractNumId="40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432" w:hanging="432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576" w:hanging="576"/>
        <w:tabs>
          <w:tab w:val="num" w:pos="576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720" w:hanging="720"/>
        <w:tabs>
          <w:tab w:val="num" w:pos="72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864" w:hanging="864"/>
        <w:tabs>
          <w:tab w:val="num" w:pos="864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1008" w:hanging="1008"/>
        <w:tabs>
          <w:tab w:val="num" w:pos="1008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1152" w:hanging="1152"/>
        <w:tabs>
          <w:tab w:val="num" w:pos="1152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1296" w:hanging="1296"/>
        <w:tabs>
          <w:tab w:val="num" w:pos="1296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1440" w:hanging="1440"/>
        <w:tabs>
          <w:tab w:val="num" w:pos="144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1584" w:hanging="1584"/>
        <w:tabs>
          <w:tab w:val="num" w:pos="1584" w:leader="none"/>
        </w:tabs>
      </w:pPr>
    </w:lvl>
  </w:abstractNum>
  <w:abstractNum w:abstractNumId="4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52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752" w:hanging="360"/>
      </w:pPr>
    </w:lvl>
    <w:lvl w:ilvl="2">
      <w:start w:val="1"/>
      <w:numFmt w:val="decimal"/>
      <w:isLgl w:val="false"/>
      <w:suff w:val="tab"/>
      <w:lvlText w:val="%1.%2.%3."/>
      <w:lvlJc w:val="left"/>
      <w:pPr>
        <w:ind w:left="1112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112" w:hanging="72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1472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1472" w:hanging="108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1832" w:hanging="144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32" w:hanging="144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92" w:hanging="1800"/>
      </w:pPr>
    </w:lvl>
  </w:abstractNum>
  <w:abstractNum w:abstractNumId="42">
    <w:multiLevelType w:val="hybridMultilevel"/>
    <w:lvl w:ilvl="0">
      <w:start w:val="20"/>
      <w:numFmt w:val="decimal"/>
      <w:isLgl w:val="false"/>
      <w:suff w:val="tab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222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942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662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382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102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822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542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262" w:hanging="180"/>
      </w:pPr>
    </w:lvl>
  </w:abstractNum>
  <w:abstractNum w:abstractNumId="43">
    <w:multiLevelType w:val="hybridMultilevel"/>
    <w:lvl w:ilvl="0">
      <w:start w:val="1"/>
      <w:numFmt w:val="bullet"/>
      <w:isLgl w:val="false"/>
      <w:suff w:val="tab"/>
      <w:lvlText w:val="-"/>
      <w:lvlJc w:val="left"/>
      <w:pPr/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44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5">
    <w:multiLevelType w:val="hybridMultilevel"/>
    <w:lvl w:ilvl="0">
      <w:start w:val="1"/>
      <w:numFmt w:val="bullet"/>
      <w:isLgl w:val="false"/>
      <w:suff w:val="tab"/>
      <w:lvlText w:val=""/>
      <w:lvlJc w:val="left"/>
      <w:pPr>
        <w:ind w:left="142" w:firstLine="0"/>
      </w:pPr>
      <w:rPr>
        <w:rFonts w:hint="default" w:ascii="Symbol" w:hAnsi="Symbol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>
        <w:ind w:left="142" w:firstLine="0"/>
      </w:pPr>
      <w:rPr>
        <w:rFonts w:hint="default"/>
      </w:rPr>
    </w:lvl>
    <w:lvl w:ilvl="2">
      <w:start w:val="1"/>
      <w:numFmt w:val="decimal"/>
      <w:isLgl w:val="false"/>
      <w:suff w:val="tab"/>
      <w:lvlText w:val=""/>
      <w:lvlJc w:val="left"/>
      <w:pPr>
        <w:ind w:left="142" w:firstLine="0"/>
      </w:pPr>
      <w:rPr>
        <w:rFonts w:hint="default"/>
      </w:rPr>
    </w:lvl>
    <w:lvl w:ilvl="3">
      <w:start w:val="1"/>
      <w:numFmt w:val="decimal"/>
      <w:isLgl w:val="false"/>
      <w:suff w:val="tab"/>
      <w:lvlText w:val=""/>
      <w:lvlJc w:val="left"/>
      <w:pPr>
        <w:ind w:left="142" w:firstLine="0"/>
      </w:pPr>
      <w:rPr>
        <w:rFonts w:hint="default"/>
      </w:rPr>
    </w:lvl>
    <w:lvl w:ilvl="4">
      <w:start w:val="1"/>
      <w:numFmt w:val="decimal"/>
      <w:isLgl w:val="false"/>
      <w:suff w:val="tab"/>
      <w:lvlText w:val=""/>
      <w:lvlJc w:val="left"/>
      <w:pPr>
        <w:ind w:left="142" w:firstLine="0"/>
      </w:pPr>
      <w:rPr>
        <w:rFonts w:hint="default"/>
      </w:rPr>
    </w:lvl>
    <w:lvl w:ilvl="5">
      <w:start w:val="1"/>
      <w:numFmt w:val="decimal"/>
      <w:isLgl w:val="false"/>
      <w:suff w:val="tab"/>
      <w:lvlText w:val=""/>
      <w:lvlJc w:val="left"/>
      <w:pPr>
        <w:ind w:left="142" w:firstLine="0"/>
      </w:pPr>
      <w:rPr>
        <w:rFonts w:hint="default"/>
      </w:rPr>
    </w:lvl>
    <w:lvl w:ilvl="6">
      <w:start w:val="1"/>
      <w:numFmt w:val="decimal"/>
      <w:isLgl w:val="false"/>
      <w:suff w:val="tab"/>
      <w:lvlText w:val=""/>
      <w:lvlJc w:val="left"/>
      <w:pPr>
        <w:ind w:left="142" w:firstLine="0"/>
      </w:pPr>
      <w:rPr>
        <w:rFonts w:hint="default"/>
      </w:rPr>
    </w:lvl>
    <w:lvl w:ilvl="7">
      <w:start w:val="1"/>
      <w:numFmt w:val="decimal"/>
      <w:isLgl w:val="false"/>
      <w:suff w:val="tab"/>
      <w:lvlText w:val=""/>
      <w:lvlJc w:val="left"/>
      <w:pPr>
        <w:ind w:left="142" w:firstLine="0"/>
      </w:pPr>
      <w:rPr>
        <w:rFonts w:hint="default"/>
      </w:rPr>
    </w:lvl>
    <w:lvl w:ilvl="8">
      <w:start w:val="1"/>
      <w:numFmt w:val="decimal"/>
      <w:isLgl w:val="false"/>
      <w:suff w:val="tab"/>
      <w:lvlText w:val=""/>
      <w:lvlJc w:val="left"/>
      <w:pPr>
        <w:ind w:left="142" w:firstLine="0"/>
      </w:pPr>
      <w:rPr>
        <w:rFonts w:hint="default"/>
      </w:rPr>
    </w:lvl>
  </w:abstractNum>
  <w:abstractNum w:abstractNumId="46">
    <w:multiLevelType w:val="hybridMultilevel"/>
    <w:lvl w:ilvl="0">
      <w:start w:val="1"/>
      <w:numFmt w:val="decimal"/>
      <w:isLgl w:val="false"/>
      <w:suff w:val="tab"/>
      <w:lvlText w:val="%1."/>
      <w:lvlJc w:val="center"/>
      <w:pPr>
        <w:ind w:left="1272" w:hanging="279"/>
        <w:tabs>
          <w:tab w:val="num" w:pos="1272" w:leader="none"/>
        </w:tabs>
      </w:pPr>
      <w:rPr>
        <w:b w:val="0"/>
        <w:i w:val="0"/>
        <w:color w:val="000000"/>
        <w:sz w:val="22"/>
        <w:szCs w:val="22"/>
        <w:u w:val="none"/>
      </w:rPr>
    </w:lvl>
    <w:lvl w:ilvl="1">
      <w:start w:val="1"/>
      <w:numFmt w:val="decimal"/>
      <w:isLgl w:val="false"/>
      <w:suff w:val="tab"/>
      <w:lvlText w:val="%1.%2."/>
      <w:lvlJc w:val="left"/>
      <w:pPr>
        <w:ind w:left="1844" w:hanging="567"/>
        <w:tabs>
          <w:tab w:val="num" w:pos="1844" w:leader="none"/>
        </w:tabs>
      </w:pPr>
      <w:rPr>
        <w:b w:val="0"/>
        <w:u w:val="none"/>
      </w:rPr>
    </w:lvl>
    <w:lvl w:ilvl="2">
      <w:start w:val="1"/>
      <w:numFmt w:val="decimal"/>
      <w:isLgl w:val="false"/>
      <w:suff w:val="tab"/>
      <w:lvlText w:val="%1.%2.%3."/>
      <w:lvlJc w:val="left"/>
      <w:pPr>
        <w:ind w:left="993" w:hanging="851"/>
        <w:tabs>
          <w:tab w:val="num" w:pos="993" w:leader="none"/>
        </w:tabs>
      </w:pPr>
      <w:rPr>
        <w:strike w:val="0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277" w:hanging="567"/>
        <w:tabs>
          <w:tab w:val="num" w:pos="1277" w:leader="none"/>
        </w:tabs>
      </w:pPr>
    </w:lvl>
    <w:lvl w:ilvl="4">
      <w:start w:val="1"/>
      <w:numFmt w:val="lowerLetter"/>
      <w:isLgl w:val="false"/>
      <w:suff w:val="tab"/>
      <w:lvlText w:val="%5)"/>
      <w:lvlJc w:val="left"/>
      <w:pPr>
        <w:ind w:left="1718" w:hanging="1008"/>
        <w:tabs>
          <w:tab w:val="num" w:pos="1718" w:leader="none"/>
        </w:tabs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592" w:hanging="1152"/>
        <w:tabs>
          <w:tab w:val="num" w:pos="2592" w:leader="none"/>
        </w:tabs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2736" w:hanging="1296"/>
        <w:tabs>
          <w:tab w:val="num" w:pos="2736" w:leader="none"/>
        </w:tabs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2880" w:hanging="1440"/>
        <w:tabs>
          <w:tab w:val="num" w:pos="2880" w:leader="none"/>
        </w:tabs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3024" w:hanging="1584"/>
        <w:tabs>
          <w:tab w:val="num" w:pos="3024" w:leader="none"/>
        </w:tabs>
      </w:pPr>
    </w:lvl>
  </w:abstractNum>
  <w:abstractNum w:abstractNumId="4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31" w:hanging="247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52" w:hanging="360"/>
      </w:pPr>
    </w:lvl>
    <w:lvl w:ilvl="1">
      <w:start w:val="3"/>
      <w:numFmt w:val="decimal"/>
      <w:isLgl w:val="false"/>
      <w:suff w:val="tab"/>
      <w:lvlText w:val="%1.%2."/>
      <w:lvlJc w:val="left"/>
      <w:pPr>
        <w:ind w:left="752" w:hanging="360"/>
      </w:pPr>
    </w:lvl>
    <w:lvl w:ilvl="2">
      <w:start w:val="1"/>
      <w:numFmt w:val="decimal"/>
      <w:isLgl w:val="false"/>
      <w:suff w:val="tab"/>
      <w:lvlText w:val="%1.%2.%3."/>
      <w:lvlJc w:val="left"/>
      <w:pPr>
        <w:ind w:left="1112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112" w:hanging="72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1472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1472" w:hanging="108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1832" w:hanging="144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32" w:hanging="144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92" w:hanging="1800"/>
      </w:pPr>
    </w:lvl>
  </w:abstractNum>
  <w:abstractNum w:abstractNumId="4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50">
    <w:multiLevelType w:val="hybridMultilevel"/>
    <w:lvl w:ilvl="0">
      <w:start w:val="1"/>
      <w:numFmt w:val="decimal"/>
      <w:isLgl w:val="false"/>
      <w:suff w:val="tab"/>
      <w:lvlText w:val="%1."/>
      <w:lvlJc w:val="right"/>
      <w:pPr>
        <w:ind w:left="709" w:hanging="360"/>
      </w:pPr>
      <w:rPr>
        <w:rFonts w:ascii="Times New Roman" w:hAnsi="Times New Roman" w:eastAsia="Times New Roman" w:cs="Times New Roman"/>
        <w:color w:val="000000"/>
        <w:sz w:val="24"/>
      </w:rPr>
    </w:lvl>
    <w:lvl w:ilvl="1">
      <w:start w:val="1"/>
      <w:numFmt w:val="decimal"/>
      <w:isLgl w:val="false"/>
      <w:suff w:val="tab"/>
      <w:lvlText w:val="%2."/>
      <w:lvlJc w:val="right"/>
      <w:pPr>
        <w:ind w:left="1429" w:hanging="360"/>
      </w:pPr>
    </w:lvl>
    <w:lvl w:ilvl="2">
      <w:start w:val="1"/>
      <w:numFmt w:val="decimal"/>
      <w:isLgl w:val="false"/>
      <w:suff w:val="tab"/>
      <w:lvlText w:val="%3."/>
      <w:lvlJc w:val="right"/>
      <w:pPr>
        <w:ind w:left="2149" w:hanging="180"/>
      </w:pPr>
    </w:lvl>
    <w:lvl w:ilvl="3">
      <w:start w:val="1"/>
      <w:numFmt w:val="decimal"/>
      <w:isLgl w:val="false"/>
      <w:suff w:val="tab"/>
      <w:lvlText w:val="%4."/>
      <w:lvlJc w:val="right"/>
      <w:pPr>
        <w:ind w:left="2869" w:hanging="360"/>
      </w:pPr>
    </w:lvl>
    <w:lvl w:ilvl="4">
      <w:start w:val="1"/>
      <w:numFmt w:val="decimal"/>
      <w:isLgl w:val="false"/>
      <w:suff w:val="tab"/>
      <w:lvlText w:val="%5."/>
      <w:lvlJc w:val="right"/>
      <w:pPr>
        <w:ind w:left="3589" w:hanging="360"/>
      </w:pPr>
    </w:lvl>
    <w:lvl w:ilvl="5">
      <w:start w:val="1"/>
      <w:numFmt w:val="decimal"/>
      <w:isLgl w:val="false"/>
      <w:suff w:val="tab"/>
      <w:lvlText w:val="%6."/>
      <w:lvlJc w:val="right"/>
      <w:pPr>
        <w:ind w:left="4309" w:hanging="180"/>
      </w:pPr>
    </w:lvl>
    <w:lvl w:ilvl="6">
      <w:start w:val="1"/>
      <w:numFmt w:val="decimal"/>
      <w:isLgl w:val="false"/>
      <w:suff w:val="tab"/>
      <w:lvlText w:val="%7."/>
      <w:lvlJc w:val="right"/>
      <w:pPr>
        <w:ind w:left="5029" w:hanging="360"/>
      </w:pPr>
    </w:lvl>
    <w:lvl w:ilvl="7">
      <w:start w:val="1"/>
      <w:numFmt w:val="decimal"/>
      <w:isLgl w:val="false"/>
      <w:suff w:val="tab"/>
      <w:lvlText w:val="%8."/>
      <w:lvlJc w:val="right"/>
      <w:pPr>
        <w:ind w:left="5749" w:hanging="360"/>
      </w:pPr>
    </w:lvl>
    <w:lvl w:ilvl="8">
      <w:start w:val="1"/>
      <w:numFmt w:val="decimal"/>
      <w:isLgl w:val="false"/>
      <w:suff w:val="tab"/>
      <w:lvlText w:val="%9."/>
      <w:lvlJc w:val="right"/>
      <w:pPr>
        <w:ind w:left="6469" w:hanging="180"/>
      </w:pPr>
    </w:lvl>
  </w:abstractNum>
  <w:abstractNum w:abstractNumId="51">
    <w:multiLevelType w:val="hybridMultilevel"/>
    <w:lvl w:ilvl="0">
      <w:start w:val="1"/>
      <w:numFmt w:val="decimal"/>
      <w:isLgl w:val="false"/>
      <w:suff w:val="tab"/>
      <w:lvlText w:val="%1."/>
      <w:lvlJc w:val="right"/>
      <w:pPr>
        <w:ind w:left="709" w:hanging="360"/>
      </w:pPr>
      <w:rPr>
        <w:rFonts w:ascii="Times New Roman" w:hAnsi="Times New Roman" w:eastAsia="Times New Roman" w:cs="Times New Roman"/>
        <w:color w:val="000000"/>
        <w:sz w:val="24"/>
      </w:rPr>
    </w:lvl>
    <w:lvl w:ilvl="1">
      <w:start w:val="1"/>
      <w:numFmt w:val="decimal"/>
      <w:isLgl w:val="false"/>
      <w:suff w:val="tab"/>
      <w:lvlText w:val="%2."/>
      <w:lvlJc w:val="right"/>
      <w:pPr>
        <w:ind w:left="1429" w:hanging="360"/>
      </w:pPr>
    </w:lvl>
    <w:lvl w:ilvl="2">
      <w:start w:val="1"/>
      <w:numFmt w:val="decimal"/>
      <w:isLgl w:val="false"/>
      <w:suff w:val="tab"/>
      <w:lvlText w:val="%3."/>
      <w:lvlJc w:val="right"/>
      <w:pPr>
        <w:ind w:left="2149" w:hanging="180"/>
      </w:pPr>
    </w:lvl>
    <w:lvl w:ilvl="3">
      <w:start w:val="1"/>
      <w:numFmt w:val="decimal"/>
      <w:isLgl w:val="false"/>
      <w:suff w:val="tab"/>
      <w:lvlText w:val="%4."/>
      <w:lvlJc w:val="right"/>
      <w:pPr>
        <w:ind w:left="2869" w:hanging="360"/>
      </w:pPr>
    </w:lvl>
    <w:lvl w:ilvl="4">
      <w:start w:val="1"/>
      <w:numFmt w:val="decimal"/>
      <w:isLgl w:val="false"/>
      <w:suff w:val="tab"/>
      <w:lvlText w:val="%5."/>
      <w:lvlJc w:val="right"/>
      <w:pPr>
        <w:ind w:left="3589" w:hanging="360"/>
      </w:pPr>
    </w:lvl>
    <w:lvl w:ilvl="5">
      <w:start w:val="1"/>
      <w:numFmt w:val="decimal"/>
      <w:isLgl w:val="false"/>
      <w:suff w:val="tab"/>
      <w:lvlText w:val="%6."/>
      <w:lvlJc w:val="right"/>
      <w:pPr>
        <w:ind w:left="4309" w:hanging="180"/>
      </w:pPr>
    </w:lvl>
    <w:lvl w:ilvl="6">
      <w:start w:val="1"/>
      <w:numFmt w:val="decimal"/>
      <w:isLgl w:val="false"/>
      <w:suff w:val="tab"/>
      <w:lvlText w:val="%7."/>
      <w:lvlJc w:val="right"/>
      <w:pPr>
        <w:ind w:left="5029" w:hanging="360"/>
      </w:pPr>
    </w:lvl>
    <w:lvl w:ilvl="7">
      <w:start w:val="1"/>
      <w:numFmt w:val="decimal"/>
      <w:isLgl w:val="false"/>
      <w:suff w:val="tab"/>
      <w:lvlText w:val="%8."/>
      <w:lvlJc w:val="right"/>
      <w:pPr>
        <w:ind w:left="5749" w:hanging="360"/>
      </w:pPr>
    </w:lvl>
    <w:lvl w:ilvl="8">
      <w:start w:val="1"/>
      <w:numFmt w:val="decimal"/>
      <w:isLgl w:val="false"/>
      <w:suff w:val="tab"/>
      <w:lvlText w:val="%9."/>
      <w:lvlJc w:val="right"/>
      <w:pPr>
        <w:ind w:left="6469" w:hanging="180"/>
      </w:pPr>
    </w:lvl>
  </w:abstractNum>
  <w:abstractNum w:abstractNumId="52">
    <w:multiLevelType w:val="hybridMultilevel"/>
    <w:lvl w:ilvl="0">
      <w:start w:val="1"/>
      <w:numFmt w:val="decimal"/>
      <w:isLgl w:val="false"/>
      <w:suff w:val="tab"/>
      <w:lvlText w:val="%1."/>
      <w:lvlJc w:val="right"/>
      <w:pPr>
        <w:ind w:left="709" w:hanging="360"/>
      </w:pPr>
      <w:rPr>
        <w:rFonts w:ascii="Times New Roman" w:hAnsi="Times New Roman" w:eastAsia="Times New Roman" w:cs="Times New Roman"/>
        <w:color w:val="000000"/>
        <w:sz w:val="24"/>
      </w:rPr>
    </w:lvl>
    <w:lvl w:ilvl="1">
      <w:start w:val="1"/>
      <w:numFmt w:val="decimal"/>
      <w:isLgl w:val="false"/>
      <w:suff w:val="tab"/>
      <w:lvlText w:val="%2."/>
      <w:lvlJc w:val="right"/>
      <w:pPr>
        <w:ind w:left="1429" w:hanging="360"/>
      </w:pPr>
    </w:lvl>
    <w:lvl w:ilvl="2">
      <w:start w:val="1"/>
      <w:numFmt w:val="decimal"/>
      <w:isLgl w:val="false"/>
      <w:suff w:val="tab"/>
      <w:lvlText w:val="%3."/>
      <w:lvlJc w:val="right"/>
      <w:pPr>
        <w:ind w:left="2149" w:hanging="180"/>
      </w:pPr>
    </w:lvl>
    <w:lvl w:ilvl="3">
      <w:start w:val="1"/>
      <w:numFmt w:val="decimal"/>
      <w:isLgl w:val="false"/>
      <w:suff w:val="tab"/>
      <w:lvlText w:val="%4."/>
      <w:lvlJc w:val="right"/>
      <w:pPr>
        <w:ind w:left="2869" w:hanging="360"/>
      </w:pPr>
    </w:lvl>
    <w:lvl w:ilvl="4">
      <w:start w:val="1"/>
      <w:numFmt w:val="decimal"/>
      <w:isLgl w:val="false"/>
      <w:suff w:val="tab"/>
      <w:lvlText w:val="%5."/>
      <w:lvlJc w:val="right"/>
      <w:pPr>
        <w:ind w:left="3589" w:hanging="360"/>
      </w:pPr>
    </w:lvl>
    <w:lvl w:ilvl="5">
      <w:start w:val="1"/>
      <w:numFmt w:val="decimal"/>
      <w:isLgl w:val="false"/>
      <w:suff w:val="tab"/>
      <w:lvlText w:val="%6."/>
      <w:lvlJc w:val="right"/>
      <w:pPr>
        <w:ind w:left="4309" w:hanging="180"/>
      </w:pPr>
    </w:lvl>
    <w:lvl w:ilvl="6">
      <w:start w:val="1"/>
      <w:numFmt w:val="decimal"/>
      <w:isLgl w:val="false"/>
      <w:suff w:val="tab"/>
      <w:lvlText w:val="%7."/>
      <w:lvlJc w:val="right"/>
      <w:pPr>
        <w:ind w:left="5029" w:hanging="360"/>
      </w:pPr>
    </w:lvl>
    <w:lvl w:ilvl="7">
      <w:start w:val="1"/>
      <w:numFmt w:val="decimal"/>
      <w:isLgl w:val="false"/>
      <w:suff w:val="tab"/>
      <w:lvlText w:val="%8."/>
      <w:lvlJc w:val="right"/>
      <w:pPr>
        <w:ind w:left="5749" w:hanging="360"/>
      </w:pPr>
    </w:lvl>
    <w:lvl w:ilvl="8">
      <w:start w:val="1"/>
      <w:numFmt w:val="decimal"/>
      <w:isLgl w:val="false"/>
      <w:suff w:val="tab"/>
      <w:lvlText w:val="%9."/>
      <w:lvlJc w:val="right"/>
      <w:pPr>
        <w:ind w:left="6469" w:hanging="180"/>
      </w:pPr>
    </w:lvl>
  </w:abstractNum>
  <w:abstractNum w:abstractNumId="53">
    <w:multiLevelType w:val="hybridMultilevel"/>
    <w:lvl w:ilvl="0">
      <w:start w:val="1"/>
      <w:numFmt w:val="decimal"/>
      <w:pStyle w:val="816"/>
      <w:isLgl w:val="false"/>
      <w:suff w:val="tab"/>
      <w:lvlText w:val="%1."/>
      <w:lvlJc w:val="left"/>
      <w:pPr>
        <w:ind w:left="432" w:hanging="432"/>
      </w:pPr>
    </w:lvl>
    <w:lvl w:ilvl="1">
      <w:start w:val="1"/>
      <w:numFmt w:val="decimal"/>
      <w:pStyle w:val="817"/>
      <w:isLgl w:val="false"/>
      <w:suff w:val="tab"/>
      <w:lvlText w:val="%1.%2."/>
      <w:lvlJc w:val="left"/>
      <w:pPr>
        <w:ind w:left="576" w:hanging="576"/>
      </w:pPr>
    </w:lvl>
    <w:lvl w:ilvl="2">
      <w:start w:val="1"/>
      <w:numFmt w:val="decimal"/>
      <w:pStyle w:val="818"/>
      <w:isLgl w:val="false"/>
      <w:suff w:val="tab"/>
      <w:lvlText w:val="%1.%2.%3."/>
      <w:lvlJc w:val="left"/>
      <w:pPr>
        <w:ind w:left="720" w:hanging="720"/>
      </w:pPr>
    </w:lvl>
    <w:lvl w:ilvl="3">
      <w:start w:val="1"/>
      <w:numFmt w:val="decimal"/>
      <w:pStyle w:val="819"/>
      <w:isLgl w:val="false"/>
      <w:suff w:val="tab"/>
      <w:lvlText w:val="%1.%2.%3.%4."/>
      <w:lvlJc w:val="left"/>
      <w:pPr>
        <w:ind w:left="864" w:hanging="864"/>
      </w:pPr>
    </w:lvl>
    <w:lvl w:ilvl="4">
      <w:start w:val="1"/>
      <w:numFmt w:val="decimal"/>
      <w:pStyle w:val="820"/>
      <w:isLgl w:val="false"/>
      <w:suff w:val="tab"/>
      <w:lvlText w:val="%1.%2.%3.%4.%5."/>
      <w:lvlJc w:val="left"/>
      <w:pPr>
        <w:ind w:left="1008" w:hanging="1008"/>
      </w:pPr>
    </w:lvl>
    <w:lvl w:ilvl="5">
      <w:start w:val="1"/>
      <w:numFmt w:val="decimal"/>
      <w:pStyle w:val="821"/>
      <w:isLgl w:val="false"/>
      <w:suff w:val="tab"/>
      <w:lvlText w:val="%1.%2.%3.%4.%5.%6."/>
      <w:lvlJc w:val="left"/>
      <w:pPr>
        <w:ind w:left="1152" w:hanging="1152"/>
      </w:pPr>
    </w:lvl>
    <w:lvl w:ilvl="6">
      <w:start w:val="1"/>
      <w:numFmt w:val="decimal"/>
      <w:pStyle w:val="822"/>
      <w:isLgl w:val="false"/>
      <w:suff w:val="tab"/>
      <w:lvlText w:val="%1.%2.%3.%4.%5.%6.%7."/>
      <w:lvlJc w:val="left"/>
      <w:pPr>
        <w:ind w:left="1296" w:hanging="1296"/>
      </w:pPr>
    </w:lvl>
    <w:lvl w:ilvl="7">
      <w:start w:val="1"/>
      <w:numFmt w:val="decimal"/>
      <w:pStyle w:val="823"/>
      <w:isLgl w:val="false"/>
      <w:suff w:val="tab"/>
      <w:lvlText w:val="%1.%2.%3.%4.%5.%6.%7.%8."/>
      <w:lvlJc w:val="left"/>
      <w:pPr>
        <w:ind w:left="1440" w:hanging="1440"/>
      </w:pPr>
    </w:lvl>
    <w:lvl w:ilvl="8">
      <w:start w:val="1"/>
      <w:numFmt w:val="decimal"/>
      <w:pStyle w:val="824"/>
      <w:isLgl w:val="false"/>
      <w:suff w:val="tab"/>
      <w:lvlText w:val="%1.%2.%3.%4.%5.%6.%7.%8.%9."/>
      <w:lvlJc w:val="left"/>
      <w:pPr>
        <w:ind w:left="1584" w:hanging="1584"/>
      </w:pPr>
    </w:lvl>
  </w:abstractNum>
  <w:abstractNum w:abstractNumId="54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09" w:hanging="360"/>
      </w:pPr>
      <w:rPr>
        <w:rFonts w:hint="default" w:ascii="Symbol" w:hAnsi="Symbol" w:eastAsia="Symbol" w:cs="Symbol"/>
        <w:color w:val="000000"/>
        <w:sz w:val="24"/>
      </w:rPr>
    </w:lvl>
    <w:lvl w:ilvl="1">
      <w:start w:val="1"/>
      <w:numFmt w:val="bullet"/>
      <w:isLgl w:val="false"/>
      <w:suff w:val="tab"/>
      <w:lvlText w:val="·"/>
      <w:lvlJc w:val="left"/>
      <w:pPr>
        <w:ind w:left="1429" w:hanging="360"/>
      </w:pPr>
      <w:rPr>
        <w:rFonts w:hint="default" w:ascii="Symbol" w:hAnsi="Symbol" w:eastAsia="Symbol" w:cs="Symbol"/>
        <w:color w:val="000000"/>
        <w:sz w:val="24"/>
      </w:rPr>
    </w:lvl>
    <w:lvl w:ilvl="2">
      <w:start w:val="1"/>
      <w:numFmt w:val="bullet"/>
      <w:isLgl w:val="false"/>
      <w:suff w:val="tab"/>
      <w:lvlText w:val="·"/>
      <w:lvlJc w:val="left"/>
      <w:pPr>
        <w:ind w:left="2149" w:hanging="360"/>
      </w:pPr>
      <w:rPr>
        <w:rFonts w:hint="default" w:ascii="Symbol" w:hAnsi="Symbol" w:eastAsia="Symbol" w:cs="Symbol"/>
        <w:color w:val="000000"/>
        <w:sz w:val="24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  <w:color w:val="000000"/>
        <w:sz w:val="24"/>
      </w:rPr>
    </w:lvl>
    <w:lvl w:ilvl="4">
      <w:start w:val="1"/>
      <w:numFmt w:val="bullet"/>
      <w:isLgl w:val="false"/>
      <w:suff w:val="tab"/>
      <w:lvlText w:val="·"/>
      <w:lvlJc w:val="left"/>
      <w:pPr>
        <w:ind w:left="3589" w:hanging="360"/>
      </w:pPr>
      <w:rPr>
        <w:rFonts w:hint="default" w:ascii="Symbol" w:hAnsi="Symbol" w:eastAsia="Symbol" w:cs="Symbol"/>
        <w:color w:val="000000"/>
        <w:sz w:val="24"/>
      </w:rPr>
    </w:lvl>
    <w:lvl w:ilvl="5">
      <w:start w:val="1"/>
      <w:numFmt w:val="bullet"/>
      <w:isLgl w:val="false"/>
      <w:suff w:val="tab"/>
      <w:lvlText w:val="·"/>
      <w:lvlJc w:val="left"/>
      <w:pPr>
        <w:ind w:left="4309" w:hanging="360"/>
      </w:pPr>
      <w:rPr>
        <w:rFonts w:hint="default" w:ascii="Symbol" w:hAnsi="Symbol" w:eastAsia="Symbol" w:cs="Symbol"/>
        <w:color w:val="000000"/>
        <w:sz w:val="24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  <w:color w:val="000000"/>
        <w:sz w:val="24"/>
      </w:rPr>
    </w:lvl>
    <w:lvl w:ilvl="7">
      <w:start w:val="1"/>
      <w:numFmt w:val="bullet"/>
      <w:isLgl w:val="false"/>
      <w:suff w:val="tab"/>
      <w:lvlText w:val="·"/>
      <w:lvlJc w:val="left"/>
      <w:pPr>
        <w:ind w:left="5749" w:hanging="360"/>
      </w:pPr>
      <w:rPr>
        <w:rFonts w:hint="default" w:ascii="Symbol" w:hAnsi="Symbol" w:eastAsia="Symbol" w:cs="Symbol"/>
        <w:color w:val="000000"/>
        <w:sz w:val="24"/>
      </w:rPr>
    </w:lvl>
    <w:lvl w:ilvl="8">
      <w:start w:val="1"/>
      <w:numFmt w:val="bullet"/>
      <w:isLgl w:val="false"/>
      <w:suff w:val="tab"/>
      <w:lvlText w:val="·"/>
      <w:lvlJc w:val="left"/>
      <w:pPr>
        <w:ind w:left="6469" w:hanging="360"/>
      </w:pPr>
      <w:rPr>
        <w:rFonts w:hint="default" w:ascii="Symbol" w:hAnsi="Symbol" w:eastAsia="Symbol" w:cs="Symbol"/>
        <w:color w:val="000000"/>
        <w:sz w:val="24"/>
      </w:rPr>
    </w:lvl>
  </w:abstractNum>
  <w:abstractNum w:abstractNumId="55">
    <w:multiLevelType w:val="hybridMultilevel"/>
    <w:lvl w:ilvl="0">
      <w:start w:val="1"/>
      <w:numFmt w:val="decimal"/>
      <w:isLgl w:val="false"/>
      <w:suff w:val="tab"/>
      <w:lvlText w:val="%1."/>
      <w:lvlJc w:val="right"/>
      <w:pPr>
        <w:ind w:left="709" w:hanging="360"/>
      </w:pPr>
      <w:rPr>
        <w:rFonts w:ascii="Times New Roman" w:hAnsi="Times New Roman" w:eastAsia="Times New Roman" w:cs="Times New Roman"/>
        <w:color w:val="000000"/>
        <w:sz w:val="24"/>
      </w:rPr>
    </w:lvl>
    <w:lvl w:ilvl="1">
      <w:start w:val="1"/>
      <w:numFmt w:val="decimal"/>
      <w:isLgl w:val="false"/>
      <w:suff w:val="tab"/>
      <w:lvlText w:val="%2."/>
      <w:lvlJc w:val="right"/>
      <w:pPr>
        <w:ind w:left="1429" w:hanging="360"/>
      </w:pPr>
    </w:lvl>
    <w:lvl w:ilvl="2">
      <w:start w:val="1"/>
      <w:numFmt w:val="decimal"/>
      <w:isLgl w:val="false"/>
      <w:suff w:val="tab"/>
      <w:lvlText w:val="%3."/>
      <w:lvlJc w:val="right"/>
      <w:pPr>
        <w:ind w:left="2149" w:hanging="180"/>
      </w:pPr>
    </w:lvl>
    <w:lvl w:ilvl="3">
      <w:start w:val="1"/>
      <w:numFmt w:val="decimal"/>
      <w:isLgl w:val="false"/>
      <w:suff w:val="tab"/>
      <w:lvlText w:val="%4."/>
      <w:lvlJc w:val="right"/>
      <w:pPr>
        <w:ind w:left="2869" w:hanging="360"/>
      </w:pPr>
    </w:lvl>
    <w:lvl w:ilvl="4">
      <w:start w:val="1"/>
      <w:numFmt w:val="decimal"/>
      <w:isLgl w:val="false"/>
      <w:suff w:val="tab"/>
      <w:lvlText w:val="%5."/>
      <w:lvlJc w:val="right"/>
      <w:pPr>
        <w:ind w:left="3589" w:hanging="360"/>
      </w:pPr>
    </w:lvl>
    <w:lvl w:ilvl="5">
      <w:start w:val="1"/>
      <w:numFmt w:val="decimal"/>
      <w:isLgl w:val="false"/>
      <w:suff w:val="tab"/>
      <w:lvlText w:val="%6."/>
      <w:lvlJc w:val="right"/>
      <w:pPr>
        <w:ind w:left="4309" w:hanging="180"/>
      </w:pPr>
    </w:lvl>
    <w:lvl w:ilvl="6">
      <w:start w:val="1"/>
      <w:numFmt w:val="decimal"/>
      <w:isLgl w:val="false"/>
      <w:suff w:val="tab"/>
      <w:lvlText w:val="%7."/>
      <w:lvlJc w:val="right"/>
      <w:pPr>
        <w:ind w:left="5029" w:hanging="360"/>
      </w:pPr>
    </w:lvl>
    <w:lvl w:ilvl="7">
      <w:start w:val="1"/>
      <w:numFmt w:val="decimal"/>
      <w:isLgl w:val="false"/>
      <w:suff w:val="tab"/>
      <w:lvlText w:val="%8."/>
      <w:lvlJc w:val="right"/>
      <w:pPr>
        <w:ind w:left="5749" w:hanging="360"/>
      </w:pPr>
    </w:lvl>
    <w:lvl w:ilvl="8">
      <w:start w:val="1"/>
      <w:numFmt w:val="decimal"/>
      <w:isLgl w:val="false"/>
      <w:suff w:val="tab"/>
      <w:lvlText w:val="%9."/>
      <w:lvlJc w:val="right"/>
      <w:pPr>
        <w:ind w:left="6469" w:hanging="180"/>
      </w:pPr>
    </w:lvl>
  </w:abstractNum>
  <w:abstractNum w:abstractNumId="5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0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2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4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6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58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0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2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4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69" w:hanging="180"/>
      </w:pPr>
    </w:lvl>
  </w:abstractNum>
  <w:abstractNum w:abstractNumId="5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85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157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29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01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73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45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17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89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610" w:hanging="180"/>
      </w:pPr>
    </w:lvl>
  </w:abstractNum>
  <w:abstractNum w:abstractNumId="5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73" w:hanging="360"/>
        <w:tabs>
          <w:tab w:val="num" w:pos="0" w:leader="none"/>
        </w:tabs>
      </w:pPr>
      <w:rPr>
        <w:sz w:val="24"/>
        <w:szCs w:val="24"/>
      </w:rPr>
    </w:lvl>
    <w:lvl w:ilvl="1">
      <w:start w:val="1"/>
      <w:numFmt w:val="lowerLetter"/>
      <w:isLgl w:val="false"/>
      <w:suff w:val="tab"/>
      <w:lvlText w:val="%2."/>
      <w:lvlJc w:val="left"/>
      <w:pPr>
        <w:ind w:left="1193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1913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633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353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073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4793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513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233" w:hanging="180"/>
        <w:tabs>
          <w:tab w:val="num" w:pos="0" w:leader="none"/>
        </w:tabs>
      </w:pPr>
    </w:lvl>
  </w:abstractNum>
  <w:abstractNum w:abstractNumId="5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24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96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68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40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12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84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56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28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000" w:hanging="180"/>
      </w:pPr>
    </w:lvl>
  </w:abstractNum>
  <w:abstractNum w:abstractNumId="6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0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2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4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6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58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0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2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4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69" w:hanging="180"/>
      </w:pPr>
    </w:lvl>
  </w:abstractNum>
  <w:abstractNum w:abstractNumId="61">
    <w:multiLevelType w:val="hybridMultilevel"/>
    <w:lvl w:ilvl="0">
      <w:start w:val="1"/>
      <w:numFmt w:val="bullet"/>
      <w:isLgl w:val="false"/>
      <w:suff w:val="tab"/>
      <w:lvlText w:val="-"/>
      <w:lvlJc w:val="left"/>
      <w:pPr/>
      <w:rPr>
        <w:rFonts w:ascii="Times New Roman" w:hAnsi="Times New Roman" w:eastAsia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6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09" w:hanging="360"/>
        <w:tabs>
          <w:tab w:val="num" w:pos="0" w:leader="none"/>
        </w:tabs>
      </w:pPr>
    </w:lvl>
    <w:lvl w:ilvl="1">
      <w:start w:val="1"/>
      <w:numFmt w:val="lowerLetter"/>
      <w:isLgl w:val="false"/>
      <w:suff w:val="tab"/>
      <w:lvlText w:val="%2."/>
      <w:lvlJc w:val="left"/>
      <w:pPr>
        <w:ind w:left="1429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49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69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589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09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29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49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69" w:hanging="180"/>
        <w:tabs>
          <w:tab w:val="num" w:pos="0" w:leader="none"/>
        </w:tabs>
      </w:pPr>
    </w:lvl>
  </w:abstractNum>
  <w:abstractNum w:abstractNumId="6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09" w:hanging="360"/>
        <w:tabs>
          <w:tab w:val="num" w:pos="0" w:leader="none"/>
        </w:tabs>
      </w:pPr>
    </w:lvl>
    <w:lvl w:ilvl="1">
      <w:start w:val="1"/>
      <w:numFmt w:val="lowerLetter"/>
      <w:isLgl w:val="false"/>
      <w:suff w:val="tab"/>
      <w:lvlText w:val="%2."/>
      <w:lvlJc w:val="left"/>
      <w:pPr>
        <w:ind w:left="1429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49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69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589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09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29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49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69" w:hanging="180"/>
        <w:tabs>
          <w:tab w:val="num" w:pos="0" w:leader="none"/>
        </w:tabs>
      </w:pPr>
    </w:lvl>
  </w:abstractNum>
  <w:abstractNum w:abstractNumId="64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09" w:hanging="360"/>
      </w:pPr>
      <w:rPr>
        <w:rFonts w:hint="default" w:ascii="Symbol" w:hAnsi="Symbol" w:eastAsia="Symbol" w:cs="Symbol"/>
        <w:color w:val="000000"/>
        <w:sz w:val="24"/>
      </w:rPr>
    </w:lvl>
    <w:lvl w:ilvl="1">
      <w:start w:val="1"/>
      <w:numFmt w:val="bullet"/>
      <w:isLgl w:val="false"/>
      <w:suff w:val="tab"/>
      <w:lvlText w:val="·"/>
      <w:lvlJc w:val="left"/>
      <w:pPr>
        <w:ind w:left="1429" w:hanging="360"/>
      </w:pPr>
      <w:rPr>
        <w:rFonts w:hint="default" w:ascii="Symbol" w:hAnsi="Symbol" w:eastAsia="Symbol" w:cs="Symbol"/>
        <w:color w:val="000000"/>
        <w:sz w:val="24"/>
      </w:rPr>
    </w:lvl>
    <w:lvl w:ilvl="2">
      <w:start w:val="1"/>
      <w:numFmt w:val="bullet"/>
      <w:isLgl w:val="false"/>
      <w:suff w:val="tab"/>
      <w:lvlText w:val="·"/>
      <w:lvlJc w:val="left"/>
      <w:pPr>
        <w:ind w:left="2149" w:hanging="360"/>
      </w:pPr>
      <w:rPr>
        <w:rFonts w:hint="default" w:ascii="Symbol" w:hAnsi="Symbol" w:eastAsia="Symbol" w:cs="Symbol"/>
        <w:color w:val="000000"/>
        <w:sz w:val="24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  <w:color w:val="000000"/>
        <w:sz w:val="24"/>
      </w:rPr>
    </w:lvl>
    <w:lvl w:ilvl="4">
      <w:start w:val="1"/>
      <w:numFmt w:val="bullet"/>
      <w:isLgl w:val="false"/>
      <w:suff w:val="tab"/>
      <w:lvlText w:val="·"/>
      <w:lvlJc w:val="left"/>
      <w:pPr>
        <w:ind w:left="3589" w:hanging="360"/>
      </w:pPr>
      <w:rPr>
        <w:rFonts w:hint="default" w:ascii="Symbol" w:hAnsi="Symbol" w:eastAsia="Symbol" w:cs="Symbol"/>
        <w:color w:val="000000"/>
        <w:sz w:val="24"/>
      </w:rPr>
    </w:lvl>
    <w:lvl w:ilvl="5">
      <w:start w:val="1"/>
      <w:numFmt w:val="bullet"/>
      <w:isLgl w:val="false"/>
      <w:suff w:val="tab"/>
      <w:lvlText w:val="·"/>
      <w:lvlJc w:val="left"/>
      <w:pPr>
        <w:ind w:left="4309" w:hanging="360"/>
      </w:pPr>
      <w:rPr>
        <w:rFonts w:hint="default" w:ascii="Symbol" w:hAnsi="Symbol" w:eastAsia="Symbol" w:cs="Symbol"/>
        <w:color w:val="000000"/>
        <w:sz w:val="24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  <w:color w:val="000000"/>
        <w:sz w:val="24"/>
      </w:rPr>
    </w:lvl>
    <w:lvl w:ilvl="7">
      <w:start w:val="1"/>
      <w:numFmt w:val="bullet"/>
      <w:isLgl w:val="false"/>
      <w:suff w:val="tab"/>
      <w:lvlText w:val="·"/>
      <w:lvlJc w:val="left"/>
      <w:pPr>
        <w:ind w:left="5749" w:hanging="360"/>
      </w:pPr>
      <w:rPr>
        <w:rFonts w:hint="default" w:ascii="Symbol" w:hAnsi="Symbol" w:eastAsia="Symbol" w:cs="Symbol"/>
        <w:color w:val="000000"/>
        <w:sz w:val="24"/>
      </w:rPr>
    </w:lvl>
    <w:lvl w:ilvl="8">
      <w:start w:val="1"/>
      <w:numFmt w:val="bullet"/>
      <w:isLgl w:val="false"/>
      <w:suff w:val="tab"/>
      <w:lvlText w:val="·"/>
      <w:lvlJc w:val="left"/>
      <w:pPr>
        <w:ind w:left="6469" w:hanging="360"/>
      </w:pPr>
      <w:rPr>
        <w:rFonts w:hint="default" w:ascii="Symbol" w:hAnsi="Symbol" w:eastAsia="Symbol" w:cs="Symbol"/>
        <w:color w:val="000000"/>
        <w:sz w:val="24"/>
      </w:rPr>
    </w:lvl>
  </w:abstractNum>
  <w:abstractNum w:abstractNumId="65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833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553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273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993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713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433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153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873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593" w:hanging="360"/>
      </w:pPr>
      <w:rPr>
        <w:rFonts w:hint="default" w:ascii="Wingdings" w:hAnsi="Wingdings" w:eastAsia="Wingdings" w:cs="Wingdings"/>
      </w:rPr>
    </w:lvl>
  </w:abstractNum>
  <w:abstractNum w:abstractNumId="66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09" w:hanging="360"/>
      </w:pPr>
      <w:rPr>
        <w:rFonts w:hint="default" w:ascii="Symbol" w:hAnsi="Symbol" w:eastAsia="Symbol" w:cs="Symbol"/>
        <w:color w:val="000000"/>
        <w:sz w:val="28"/>
      </w:rPr>
    </w:lvl>
    <w:lvl w:ilvl="1">
      <w:start w:val="1"/>
      <w:numFmt w:val="bullet"/>
      <w:isLgl w:val="false"/>
      <w:suff w:val="tab"/>
      <w:lvlText w:val="·"/>
      <w:lvlJc w:val="left"/>
      <w:pPr>
        <w:ind w:left="1429" w:hanging="360"/>
      </w:pPr>
      <w:rPr>
        <w:rFonts w:hint="default" w:ascii="Symbol" w:hAnsi="Symbol" w:eastAsia="Symbol" w:cs="Symbol"/>
        <w:color w:val="000000"/>
        <w:sz w:val="28"/>
      </w:rPr>
    </w:lvl>
    <w:lvl w:ilvl="2">
      <w:start w:val="1"/>
      <w:numFmt w:val="bullet"/>
      <w:isLgl w:val="false"/>
      <w:suff w:val="tab"/>
      <w:lvlText w:val="·"/>
      <w:lvlJc w:val="left"/>
      <w:pPr>
        <w:ind w:left="2149" w:hanging="360"/>
      </w:pPr>
      <w:rPr>
        <w:rFonts w:hint="default" w:ascii="Symbol" w:hAnsi="Symbol" w:eastAsia="Symbol" w:cs="Symbol"/>
        <w:color w:val="000000"/>
        <w:sz w:val="28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  <w:color w:val="000000"/>
        <w:sz w:val="28"/>
      </w:rPr>
    </w:lvl>
    <w:lvl w:ilvl="4">
      <w:start w:val="1"/>
      <w:numFmt w:val="bullet"/>
      <w:isLgl w:val="false"/>
      <w:suff w:val="tab"/>
      <w:lvlText w:val="·"/>
      <w:lvlJc w:val="left"/>
      <w:pPr>
        <w:ind w:left="3589" w:hanging="360"/>
      </w:pPr>
      <w:rPr>
        <w:rFonts w:hint="default" w:ascii="Symbol" w:hAnsi="Symbol" w:eastAsia="Symbol" w:cs="Symbol"/>
        <w:color w:val="000000"/>
        <w:sz w:val="28"/>
      </w:rPr>
    </w:lvl>
    <w:lvl w:ilvl="5">
      <w:start w:val="1"/>
      <w:numFmt w:val="bullet"/>
      <w:isLgl w:val="false"/>
      <w:suff w:val="tab"/>
      <w:lvlText w:val="·"/>
      <w:lvlJc w:val="left"/>
      <w:pPr>
        <w:ind w:left="4309" w:hanging="360"/>
      </w:pPr>
      <w:rPr>
        <w:rFonts w:hint="default" w:ascii="Symbol" w:hAnsi="Symbol" w:eastAsia="Symbol" w:cs="Symbol"/>
        <w:color w:val="000000"/>
        <w:sz w:val="28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  <w:color w:val="000000"/>
        <w:sz w:val="28"/>
      </w:rPr>
    </w:lvl>
    <w:lvl w:ilvl="7">
      <w:start w:val="1"/>
      <w:numFmt w:val="bullet"/>
      <w:isLgl w:val="false"/>
      <w:suff w:val="tab"/>
      <w:lvlText w:val="·"/>
      <w:lvlJc w:val="left"/>
      <w:pPr>
        <w:ind w:left="5749" w:hanging="360"/>
      </w:pPr>
      <w:rPr>
        <w:rFonts w:hint="default" w:ascii="Symbol" w:hAnsi="Symbol" w:eastAsia="Symbol" w:cs="Symbol"/>
        <w:color w:val="000000"/>
        <w:sz w:val="28"/>
      </w:rPr>
    </w:lvl>
    <w:lvl w:ilvl="8">
      <w:start w:val="1"/>
      <w:numFmt w:val="bullet"/>
      <w:isLgl w:val="false"/>
      <w:suff w:val="tab"/>
      <w:lvlText w:val="·"/>
      <w:lvlJc w:val="left"/>
      <w:pPr>
        <w:ind w:left="6469" w:hanging="360"/>
      </w:pPr>
      <w:rPr>
        <w:rFonts w:hint="default" w:ascii="Symbol" w:hAnsi="Symbol" w:eastAsia="Symbol" w:cs="Symbol"/>
        <w:color w:val="000000"/>
        <w:sz w:val="28"/>
      </w:rPr>
    </w:lvl>
  </w:abstractNum>
  <w:abstractNum w:abstractNumId="67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09" w:hanging="360"/>
      </w:pPr>
      <w:rPr>
        <w:rFonts w:hint="default" w:ascii="Symbol" w:hAnsi="Symbol" w:eastAsia="Symbol" w:cs="Symbol"/>
        <w:color w:val="0000ff"/>
        <w:sz w:val="11"/>
        <w:vertAlign w:val="superscript"/>
      </w:rPr>
    </w:lvl>
    <w:lvl w:ilvl="1">
      <w:start w:val="1"/>
      <w:numFmt w:val="bullet"/>
      <w:isLgl w:val="false"/>
      <w:suff w:val="tab"/>
      <w:lvlText w:val="·"/>
      <w:lvlJc w:val="left"/>
      <w:pPr>
        <w:ind w:left="1429" w:hanging="360"/>
      </w:pPr>
      <w:rPr>
        <w:rFonts w:hint="default" w:ascii="Symbol" w:hAnsi="Symbol" w:eastAsia="Symbol" w:cs="Symbol"/>
        <w:color w:val="0000ff"/>
        <w:sz w:val="11"/>
        <w:vertAlign w:val="superscript"/>
      </w:rPr>
    </w:lvl>
    <w:lvl w:ilvl="2">
      <w:start w:val="1"/>
      <w:numFmt w:val="bullet"/>
      <w:isLgl w:val="false"/>
      <w:suff w:val="tab"/>
      <w:lvlText w:val="·"/>
      <w:lvlJc w:val="left"/>
      <w:pPr>
        <w:ind w:left="2149" w:hanging="360"/>
      </w:pPr>
      <w:rPr>
        <w:rFonts w:hint="default" w:ascii="Symbol" w:hAnsi="Symbol" w:eastAsia="Symbol" w:cs="Symbol"/>
        <w:color w:val="0000ff"/>
        <w:sz w:val="11"/>
        <w:vertAlign w:val="superscript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  <w:color w:val="0000ff"/>
        <w:sz w:val="11"/>
        <w:vertAlign w:val="superscript"/>
      </w:rPr>
    </w:lvl>
    <w:lvl w:ilvl="4">
      <w:start w:val="1"/>
      <w:numFmt w:val="bullet"/>
      <w:isLgl w:val="false"/>
      <w:suff w:val="tab"/>
      <w:lvlText w:val="·"/>
      <w:lvlJc w:val="left"/>
      <w:pPr>
        <w:ind w:left="3589" w:hanging="360"/>
      </w:pPr>
      <w:rPr>
        <w:rFonts w:hint="default" w:ascii="Symbol" w:hAnsi="Symbol" w:eastAsia="Symbol" w:cs="Symbol"/>
        <w:color w:val="0000ff"/>
        <w:sz w:val="11"/>
        <w:vertAlign w:val="superscript"/>
      </w:rPr>
    </w:lvl>
    <w:lvl w:ilvl="5">
      <w:start w:val="1"/>
      <w:numFmt w:val="bullet"/>
      <w:isLgl w:val="false"/>
      <w:suff w:val="tab"/>
      <w:lvlText w:val="·"/>
      <w:lvlJc w:val="left"/>
      <w:pPr>
        <w:ind w:left="4309" w:hanging="360"/>
      </w:pPr>
      <w:rPr>
        <w:rFonts w:hint="default" w:ascii="Symbol" w:hAnsi="Symbol" w:eastAsia="Symbol" w:cs="Symbol"/>
        <w:color w:val="0000ff"/>
        <w:sz w:val="11"/>
        <w:vertAlign w:val="superscript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  <w:color w:val="0000ff"/>
        <w:sz w:val="11"/>
        <w:vertAlign w:val="superscript"/>
      </w:rPr>
    </w:lvl>
    <w:lvl w:ilvl="7">
      <w:start w:val="1"/>
      <w:numFmt w:val="bullet"/>
      <w:isLgl w:val="false"/>
      <w:suff w:val="tab"/>
      <w:lvlText w:val="·"/>
      <w:lvlJc w:val="left"/>
      <w:pPr>
        <w:ind w:left="5749" w:hanging="360"/>
      </w:pPr>
      <w:rPr>
        <w:rFonts w:hint="default" w:ascii="Symbol" w:hAnsi="Symbol" w:eastAsia="Symbol" w:cs="Symbol"/>
        <w:color w:val="0000ff"/>
        <w:sz w:val="11"/>
        <w:vertAlign w:val="superscript"/>
      </w:rPr>
    </w:lvl>
    <w:lvl w:ilvl="8">
      <w:start w:val="1"/>
      <w:numFmt w:val="bullet"/>
      <w:isLgl w:val="false"/>
      <w:suff w:val="tab"/>
      <w:lvlText w:val="·"/>
      <w:lvlJc w:val="left"/>
      <w:pPr>
        <w:ind w:left="6469" w:hanging="360"/>
      </w:pPr>
      <w:rPr>
        <w:rFonts w:hint="default" w:ascii="Symbol" w:hAnsi="Symbol" w:eastAsia="Symbol" w:cs="Symbol"/>
        <w:color w:val="0000ff"/>
        <w:sz w:val="11"/>
        <w:vertAlign w:val="superscript"/>
      </w:rPr>
    </w:lvl>
  </w:abstractNum>
  <w:abstractNum w:abstractNumId="68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09" w:hanging="360"/>
      </w:pPr>
      <w:rPr>
        <w:rFonts w:hint="default" w:ascii="Symbol" w:hAnsi="Symbol" w:eastAsia="Symbol" w:cs="Symbol"/>
        <w:color w:val="000000"/>
        <w:sz w:val="24"/>
      </w:rPr>
    </w:lvl>
    <w:lvl w:ilvl="1">
      <w:start w:val="1"/>
      <w:numFmt w:val="bullet"/>
      <w:isLgl w:val="false"/>
      <w:suff w:val="tab"/>
      <w:lvlText w:val="·"/>
      <w:lvlJc w:val="left"/>
      <w:pPr>
        <w:ind w:left="1429" w:hanging="360"/>
      </w:pPr>
      <w:rPr>
        <w:rFonts w:hint="default" w:ascii="Symbol" w:hAnsi="Symbol" w:eastAsia="Symbol" w:cs="Symbol"/>
        <w:color w:val="000000"/>
        <w:sz w:val="24"/>
      </w:rPr>
    </w:lvl>
    <w:lvl w:ilvl="2">
      <w:start w:val="1"/>
      <w:numFmt w:val="bullet"/>
      <w:isLgl w:val="false"/>
      <w:suff w:val="tab"/>
      <w:lvlText w:val="·"/>
      <w:lvlJc w:val="left"/>
      <w:pPr>
        <w:ind w:left="2149" w:hanging="360"/>
      </w:pPr>
      <w:rPr>
        <w:rFonts w:hint="default" w:ascii="Symbol" w:hAnsi="Symbol" w:eastAsia="Symbol" w:cs="Symbol"/>
        <w:color w:val="000000"/>
        <w:sz w:val="24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  <w:color w:val="000000"/>
        <w:sz w:val="24"/>
      </w:rPr>
    </w:lvl>
    <w:lvl w:ilvl="4">
      <w:start w:val="1"/>
      <w:numFmt w:val="bullet"/>
      <w:isLgl w:val="false"/>
      <w:suff w:val="tab"/>
      <w:lvlText w:val="·"/>
      <w:lvlJc w:val="left"/>
      <w:pPr>
        <w:ind w:left="3589" w:hanging="360"/>
      </w:pPr>
      <w:rPr>
        <w:rFonts w:hint="default" w:ascii="Symbol" w:hAnsi="Symbol" w:eastAsia="Symbol" w:cs="Symbol"/>
        <w:color w:val="000000"/>
        <w:sz w:val="24"/>
      </w:rPr>
    </w:lvl>
    <w:lvl w:ilvl="5">
      <w:start w:val="1"/>
      <w:numFmt w:val="bullet"/>
      <w:isLgl w:val="false"/>
      <w:suff w:val="tab"/>
      <w:lvlText w:val="·"/>
      <w:lvlJc w:val="left"/>
      <w:pPr>
        <w:ind w:left="4309" w:hanging="360"/>
      </w:pPr>
      <w:rPr>
        <w:rFonts w:hint="default" w:ascii="Symbol" w:hAnsi="Symbol" w:eastAsia="Symbol" w:cs="Symbol"/>
        <w:color w:val="000000"/>
        <w:sz w:val="24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  <w:color w:val="000000"/>
        <w:sz w:val="24"/>
      </w:rPr>
    </w:lvl>
    <w:lvl w:ilvl="7">
      <w:start w:val="1"/>
      <w:numFmt w:val="bullet"/>
      <w:isLgl w:val="false"/>
      <w:suff w:val="tab"/>
      <w:lvlText w:val="·"/>
      <w:lvlJc w:val="left"/>
      <w:pPr>
        <w:ind w:left="5749" w:hanging="360"/>
      </w:pPr>
      <w:rPr>
        <w:rFonts w:hint="default" w:ascii="Symbol" w:hAnsi="Symbol" w:eastAsia="Symbol" w:cs="Symbol"/>
        <w:color w:val="000000"/>
        <w:sz w:val="24"/>
      </w:rPr>
    </w:lvl>
    <w:lvl w:ilvl="8">
      <w:start w:val="1"/>
      <w:numFmt w:val="bullet"/>
      <w:isLgl w:val="false"/>
      <w:suff w:val="tab"/>
      <w:lvlText w:val="·"/>
      <w:lvlJc w:val="left"/>
      <w:pPr>
        <w:ind w:left="6469" w:hanging="360"/>
      </w:pPr>
      <w:rPr>
        <w:rFonts w:hint="default" w:ascii="Symbol" w:hAnsi="Symbol" w:eastAsia="Symbol" w:cs="Symbol"/>
        <w:color w:val="000000"/>
        <w:sz w:val="24"/>
      </w:rPr>
    </w:lvl>
  </w:abstractNum>
  <w:abstractNum w:abstractNumId="69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num w:numId="1">
    <w:abstractNumId w:val="25"/>
  </w:num>
  <w:num w:numId="2">
    <w:abstractNumId w:val="11"/>
  </w:num>
  <w:num w:numId="3">
    <w:abstractNumId w:val="37"/>
  </w:num>
  <w:num w:numId="4">
    <w:abstractNumId w:val="39"/>
  </w:num>
  <w:num w:numId="5">
    <w:abstractNumId w:val="17"/>
  </w:num>
  <w:num w:numId="6">
    <w:abstractNumId w:val="34"/>
  </w:num>
  <w:num w:numId="7">
    <w:abstractNumId w:val="20"/>
  </w:num>
  <w:num w:numId="8">
    <w:abstractNumId w:val="43"/>
  </w:num>
  <w:num w:numId="9">
    <w:abstractNumId w:val="31"/>
  </w:num>
  <w:num w:numId="10">
    <w:abstractNumId w:val="21"/>
  </w:num>
  <w:num w:numId="11">
    <w:abstractNumId w:val="26"/>
  </w:num>
  <w:num w:numId="12">
    <w:abstractNumId w:val="7"/>
  </w:num>
  <w:num w:numId="13">
    <w:abstractNumId w:val="27"/>
  </w:num>
  <w:num w:numId="14">
    <w:abstractNumId w:val="3"/>
  </w:num>
  <w:num w:numId="15">
    <w:abstractNumId w:val="33"/>
  </w:num>
  <w:num w:numId="16">
    <w:abstractNumId w:val="29"/>
  </w:num>
  <w:num w:numId="17">
    <w:abstractNumId w:val="36"/>
  </w:num>
  <w:num w:numId="18">
    <w:abstractNumId w:val="8"/>
  </w:num>
  <w:num w:numId="19">
    <w:abstractNumId w:val="32"/>
  </w:num>
  <w:num w:numId="20">
    <w:abstractNumId w:val="9"/>
  </w:num>
  <w:num w:numId="21">
    <w:abstractNumId w:val="4"/>
  </w:num>
  <w:num w:numId="22">
    <w:abstractNumId w:val="13"/>
  </w:num>
  <w:num w:numId="23">
    <w:abstractNumId w:val="35"/>
  </w:num>
  <w:num w:numId="24">
    <w:abstractNumId w:val="15"/>
  </w:num>
  <w:num w:numId="25">
    <w:abstractNumId w:val="6"/>
  </w:num>
  <w:num w:numId="26">
    <w:abstractNumId w:val="41"/>
  </w:num>
  <w:num w:numId="27">
    <w:abstractNumId w:val="44"/>
  </w:num>
  <w:num w:numId="28">
    <w:abstractNumId w:val="10"/>
  </w:num>
  <w:num w:numId="29">
    <w:abstractNumId w:val="18"/>
  </w:num>
  <w:num w:numId="30">
    <w:abstractNumId w:val="40"/>
  </w:num>
  <w:num w:numId="31">
    <w:abstractNumId w:val="19"/>
  </w:num>
  <w:num w:numId="32">
    <w:abstractNumId w:val="16"/>
  </w:num>
  <w:num w:numId="33">
    <w:abstractNumId w:val="23"/>
  </w:num>
  <w:num w:numId="34">
    <w:abstractNumId w:val="42"/>
  </w:num>
  <w:num w:numId="35">
    <w:abstractNumId w:val="14"/>
  </w:num>
  <w:num w:numId="36">
    <w:abstractNumId w:val="0"/>
  </w:num>
  <w:num w:numId="37">
    <w:abstractNumId w:val="5"/>
  </w:num>
  <w:num w:numId="38">
    <w:abstractNumId w:val="30"/>
  </w:num>
  <w:num w:numId="39">
    <w:abstractNumId w:val="22"/>
  </w:num>
  <w:num w:numId="40">
    <w:abstractNumId w:val="45"/>
  </w:num>
  <w:num w:numId="41">
    <w:abstractNumId w:val="1"/>
  </w:num>
  <w:num w:numId="42">
    <w:abstractNumId w:val="12"/>
  </w:num>
  <w:num w:numId="43">
    <w:abstractNumId w:val="38"/>
  </w:num>
  <w:num w:numId="44">
    <w:abstractNumId w:val="24"/>
  </w:num>
  <w:num w:numId="45">
    <w:abstractNumId w:val="2"/>
  </w:num>
  <w:num w:numId="46">
    <w:abstractNumId w:val="28"/>
  </w:num>
  <w:num w:numId="47">
    <w:abstractNumId w:val="46"/>
  </w:num>
  <w:num w:numId="48">
    <w:abstractNumId w:val="47"/>
  </w:num>
  <w:num w:numId="49">
    <w:abstractNumId w:val="48"/>
  </w:num>
  <w:num w:numId="50">
    <w:abstractNumId w:val="49"/>
  </w:num>
  <w:num w:numId="51">
    <w:abstractNumId w:val="50"/>
  </w:num>
  <w:num w:numId="52">
    <w:abstractNumId w:val="51"/>
  </w:num>
  <w:num w:numId="53">
    <w:abstractNumId w:val="52"/>
  </w:num>
  <w:num w:numId="54">
    <w:abstractNumId w:val="53"/>
  </w:num>
  <w:num w:numId="55">
    <w:abstractNumId w:val="54"/>
  </w:num>
  <w:num w:numId="56">
    <w:abstractNumId w:val="55"/>
  </w:num>
  <w:num w:numId="57">
    <w:abstractNumId w:val="56"/>
  </w:num>
  <w:num w:numId="58">
    <w:abstractNumId w:val="57"/>
  </w:num>
  <w:num w:numId="59">
    <w:abstractNumId w:val="58"/>
  </w:num>
  <w:num w:numId="60">
    <w:abstractNumId w:val="59"/>
  </w:num>
  <w:num w:numId="61">
    <w:abstractNumId w:val="60"/>
  </w:num>
  <w:num w:numId="62">
    <w:abstractNumId w:val="61"/>
  </w:num>
  <w:num w:numId="63">
    <w:abstractNumId w:val="62"/>
  </w:num>
  <w:num w:numId="64">
    <w:abstractNumId w:val="63"/>
  </w:num>
  <w:num w:numId="65">
    <w:abstractNumId w:val="64"/>
  </w:num>
  <w:num w:numId="66">
    <w:abstractNumId w:val="65"/>
  </w:num>
  <w:num w:numId="67">
    <w:abstractNumId w:val="66"/>
  </w:num>
  <w:num w:numId="68">
    <w:abstractNumId w:val="67"/>
  </w:num>
  <w:num w:numId="69">
    <w:abstractNumId w:val="68"/>
  </w:num>
  <w:num w:numId="70">
    <w:abstractNumId w:val="6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800">
    <w:name w:val="Heading 1 Char"/>
    <w:basedOn w:val="825"/>
    <w:link w:val="816"/>
    <w:uiPriority w:val="9"/>
    <w:rPr>
      <w:rFonts w:ascii="Arial" w:hAnsi="Arial" w:eastAsia="Arial" w:cs="Arial"/>
      <w:sz w:val="40"/>
      <w:szCs w:val="40"/>
    </w:rPr>
  </w:style>
  <w:style w:type="character" w:styleId="801">
    <w:name w:val="Heading 2 Char"/>
    <w:basedOn w:val="825"/>
    <w:link w:val="817"/>
    <w:uiPriority w:val="9"/>
    <w:rPr>
      <w:rFonts w:ascii="Arial" w:hAnsi="Arial" w:eastAsia="Arial" w:cs="Arial"/>
      <w:sz w:val="34"/>
    </w:rPr>
  </w:style>
  <w:style w:type="character" w:styleId="802">
    <w:name w:val="Heading 3 Char"/>
    <w:basedOn w:val="825"/>
    <w:link w:val="818"/>
    <w:uiPriority w:val="9"/>
    <w:rPr>
      <w:rFonts w:ascii="Arial" w:hAnsi="Arial" w:eastAsia="Arial" w:cs="Arial"/>
      <w:sz w:val="30"/>
      <w:szCs w:val="30"/>
    </w:rPr>
  </w:style>
  <w:style w:type="character" w:styleId="803">
    <w:name w:val="Heading 4 Char"/>
    <w:basedOn w:val="825"/>
    <w:link w:val="819"/>
    <w:uiPriority w:val="9"/>
    <w:rPr>
      <w:rFonts w:ascii="Arial" w:hAnsi="Arial" w:eastAsia="Arial" w:cs="Arial"/>
      <w:b/>
      <w:bCs/>
      <w:sz w:val="26"/>
      <w:szCs w:val="26"/>
    </w:rPr>
  </w:style>
  <w:style w:type="character" w:styleId="804">
    <w:name w:val="Heading 5 Char"/>
    <w:basedOn w:val="825"/>
    <w:link w:val="820"/>
    <w:uiPriority w:val="9"/>
    <w:rPr>
      <w:rFonts w:ascii="Arial" w:hAnsi="Arial" w:eastAsia="Arial" w:cs="Arial"/>
      <w:b/>
      <w:bCs/>
      <w:sz w:val="24"/>
      <w:szCs w:val="24"/>
    </w:rPr>
  </w:style>
  <w:style w:type="character" w:styleId="805">
    <w:name w:val="Heading 6 Char"/>
    <w:basedOn w:val="825"/>
    <w:link w:val="821"/>
    <w:uiPriority w:val="9"/>
    <w:rPr>
      <w:rFonts w:ascii="Arial" w:hAnsi="Arial" w:eastAsia="Arial" w:cs="Arial"/>
      <w:b/>
      <w:bCs/>
      <w:sz w:val="22"/>
      <w:szCs w:val="22"/>
    </w:rPr>
  </w:style>
  <w:style w:type="character" w:styleId="806">
    <w:name w:val="Heading 7 Char"/>
    <w:basedOn w:val="825"/>
    <w:link w:val="822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807">
    <w:name w:val="Heading 8 Char"/>
    <w:basedOn w:val="825"/>
    <w:link w:val="823"/>
    <w:uiPriority w:val="9"/>
    <w:rPr>
      <w:rFonts w:ascii="Arial" w:hAnsi="Arial" w:eastAsia="Arial" w:cs="Arial"/>
      <w:i/>
      <w:iCs/>
      <w:sz w:val="22"/>
      <w:szCs w:val="22"/>
    </w:rPr>
  </w:style>
  <w:style w:type="character" w:styleId="808">
    <w:name w:val="Heading 9 Char"/>
    <w:basedOn w:val="825"/>
    <w:link w:val="824"/>
    <w:uiPriority w:val="9"/>
    <w:rPr>
      <w:rFonts w:ascii="Arial" w:hAnsi="Arial" w:eastAsia="Arial" w:cs="Arial"/>
      <w:i/>
      <w:iCs/>
      <w:sz w:val="21"/>
      <w:szCs w:val="21"/>
    </w:rPr>
  </w:style>
  <w:style w:type="character" w:styleId="809">
    <w:name w:val="Title Char"/>
    <w:basedOn w:val="825"/>
    <w:link w:val="839"/>
    <w:uiPriority w:val="10"/>
    <w:rPr>
      <w:sz w:val="48"/>
      <w:szCs w:val="48"/>
    </w:rPr>
  </w:style>
  <w:style w:type="character" w:styleId="810">
    <w:name w:val="Subtitle Char"/>
    <w:basedOn w:val="825"/>
    <w:link w:val="841"/>
    <w:uiPriority w:val="11"/>
    <w:rPr>
      <w:sz w:val="24"/>
      <w:szCs w:val="24"/>
    </w:rPr>
  </w:style>
  <w:style w:type="character" w:styleId="811">
    <w:name w:val="Quote Char"/>
    <w:link w:val="843"/>
    <w:uiPriority w:val="29"/>
    <w:rPr>
      <w:i/>
    </w:rPr>
  </w:style>
  <w:style w:type="character" w:styleId="812">
    <w:name w:val="Intense Quote Char"/>
    <w:link w:val="845"/>
    <w:uiPriority w:val="30"/>
    <w:rPr>
      <w:i/>
    </w:rPr>
  </w:style>
  <w:style w:type="character" w:styleId="813">
    <w:name w:val="Footnote Text Char"/>
    <w:link w:val="980"/>
    <w:uiPriority w:val="99"/>
    <w:rPr>
      <w:sz w:val="18"/>
    </w:rPr>
  </w:style>
  <w:style w:type="character" w:styleId="814">
    <w:name w:val="Endnote Text Char"/>
    <w:link w:val="983"/>
    <w:uiPriority w:val="99"/>
    <w:rPr>
      <w:sz w:val="20"/>
    </w:rPr>
  </w:style>
  <w:style w:type="paragraph" w:styleId="815" w:default="1">
    <w:name w:val="Normal"/>
    <w:qFormat/>
    <w:rPr>
      <w:lang w:eastAsia="zh-CN"/>
    </w:rPr>
  </w:style>
  <w:style w:type="paragraph" w:styleId="816">
    <w:name w:val="Heading 1"/>
    <w:basedOn w:val="815"/>
    <w:next w:val="815"/>
    <w:link w:val="828"/>
    <w:pPr>
      <w:numPr>
        <w:ilvl w:val="0"/>
        <w:numId w:val="54"/>
      </w:numPr>
      <w:jc w:val="center"/>
      <w:keepNext/>
      <w:outlineLvl w:val="0"/>
    </w:pPr>
    <w:rPr>
      <w:rFonts w:ascii="Arial" w:hAnsi="Arial"/>
      <w:sz w:val="28"/>
    </w:rPr>
  </w:style>
  <w:style w:type="paragraph" w:styleId="817">
    <w:name w:val="Heading 2"/>
    <w:link w:val="829"/>
    <w:uiPriority w:val="9"/>
    <w:unhideWhenUsed/>
    <w:qFormat/>
    <w:pPr>
      <w:numPr>
        <w:ilvl w:val="1"/>
        <w:numId w:val="54"/>
      </w:numPr>
      <w:keepLines/>
      <w:keepNext/>
      <w:spacing w:before="360" w:after="200"/>
      <w:outlineLvl w:val="1"/>
    </w:pPr>
    <w:rPr>
      <w:rFonts w:ascii="Arial" w:hAnsi="Arial" w:eastAsia="Arial" w:cs="Arial"/>
      <w:sz w:val="34"/>
      <w:lang w:eastAsia="zh-CN"/>
    </w:rPr>
  </w:style>
  <w:style w:type="paragraph" w:styleId="818">
    <w:name w:val="Heading 3"/>
    <w:link w:val="830"/>
    <w:uiPriority w:val="9"/>
    <w:unhideWhenUsed/>
    <w:qFormat/>
    <w:pPr>
      <w:numPr>
        <w:ilvl w:val="2"/>
        <w:numId w:val="54"/>
      </w:num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  <w:lang w:eastAsia="zh-CN"/>
    </w:rPr>
  </w:style>
  <w:style w:type="paragraph" w:styleId="819">
    <w:name w:val="Heading 4"/>
    <w:link w:val="831"/>
    <w:uiPriority w:val="9"/>
    <w:unhideWhenUsed/>
    <w:qFormat/>
    <w:pPr>
      <w:numPr>
        <w:ilvl w:val="3"/>
        <w:numId w:val="54"/>
      </w:num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  <w:lang w:eastAsia="zh-CN"/>
    </w:rPr>
  </w:style>
  <w:style w:type="paragraph" w:styleId="820">
    <w:name w:val="Heading 5"/>
    <w:link w:val="832"/>
    <w:uiPriority w:val="9"/>
    <w:unhideWhenUsed/>
    <w:qFormat/>
    <w:pPr>
      <w:numPr>
        <w:ilvl w:val="4"/>
        <w:numId w:val="54"/>
      </w:num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  <w:lang w:eastAsia="zh-CN"/>
    </w:rPr>
  </w:style>
  <w:style w:type="paragraph" w:styleId="821">
    <w:name w:val="Heading 6"/>
    <w:link w:val="833"/>
    <w:uiPriority w:val="9"/>
    <w:unhideWhenUsed/>
    <w:qFormat/>
    <w:pPr>
      <w:numPr>
        <w:ilvl w:val="5"/>
        <w:numId w:val="54"/>
      </w:num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  <w:lang w:eastAsia="zh-CN"/>
    </w:rPr>
  </w:style>
  <w:style w:type="paragraph" w:styleId="822">
    <w:name w:val="Heading 7"/>
    <w:link w:val="834"/>
    <w:uiPriority w:val="9"/>
    <w:unhideWhenUsed/>
    <w:qFormat/>
    <w:pPr>
      <w:numPr>
        <w:ilvl w:val="6"/>
        <w:numId w:val="54"/>
      </w:num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  <w:lang w:eastAsia="zh-CN"/>
    </w:rPr>
  </w:style>
  <w:style w:type="paragraph" w:styleId="823">
    <w:name w:val="Heading 8"/>
    <w:link w:val="835"/>
    <w:uiPriority w:val="9"/>
    <w:unhideWhenUsed/>
    <w:qFormat/>
    <w:pPr>
      <w:numPr>
        <w:ilvl w:val="7"/>
        <w:numId w:val="54"/>
      </w:num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  <w:lang w:eastAsia="zh-CN"/>
    </w:rPr>
  </w:style>
  <w:style w:type="paragraph" w:styleId="824">
    <w:name w:val="Heading 9"/>
    <w:link w:val="836"/>
    <w:uiPriority w:val="9"/>
    <w:unhideWhenUsed/>
    <w:qFormat/>
    <w:pPr>
      <w:numPr>
        <w:ilvl w:val="8"/>
        <w:numId w:val="54"/>
      </w:num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  <w:lang w:eastAsia="zh-CN"/>
    </w:rPr>
  </w:style>
  <w:style w:type="character" w:styleId="825" w:default="1">
    <w:name w:val="Default Paragraph Font"/>
    <w:uiPriority w:val="1"/>
    <w:semiHidden/>
    <w:unhideWhenUsed/>
  </w:style>
  <w:style w:type="table" w:styleId="826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27" w:default="1">
    <w:name w:val="No List"/>
    <w:uiPriority w:val="99"/>
    <w:semiHidden/>
    <w:unhideWhenUsed/>
  </w:style>
  <w:style w:type="character" w:styleId="828" w:customStyle="1">
    <w:name w:val="Заголовок 1 Знак"/>
    <w:link w:val="816"/>
    <w:uiPriority w:val="9"/>
    <w:rPr>
      <w:rFonts w:ascii="Arial" w:hAnsi="Arial" w:eastAsia="Arial" w:cs="Arial"/>
      <w:sz w:val="40"/>
      <w:szCs w:val="40"/>
    </w:rPr>
  </w:style>
  <w:style w:type="character" w:styleId="829" w:customStyle="1">
    <w:name w:val="Заголовок 2 Знак"/>
    <w:link w:val="817"/>
    <w:uiPriority w:val="9"/>
    <w:rPr>
      <w:rFonts w:ascii="Arial" w:hAnsi="Arial" w:eastAsia="Arial" w:cs="Arial"/>
      <w:sz w:val="34"/>
    </w:rPr>
  </w:style>
  <w:style w:type="character" w:styleId="830" w:customStyle="1">
    <w:name w:val="Заголовок 3 Знак"/>
    <w:link w:val="818"/>
    <w:uiPriority w:val="9"/>
    <w:rPr>
      <w:rFonts w:ascii="Arial" w:hAnsi="Arial" w:eastAsia="Arial" w:cs="Arial"/>
      <w:sz w:val="30"/>
      <w:szCs w:val="30"/>
    </w:rPr>
  </w:style>
  <w:style w:type="character" w:styleId="831" w:customStyle="1">
    <w:name w:val="Заголовок 4 Знак"/>
    <w:link w:val="819"/>
    <w:uiPriority w:val="9"/>
    <w:rPr>
      <w:rFonts w:ascii="Arial" w:hAnsi="Arial" w:eastAsia="Arial" w:cs="Arial"/>
      <w:b/>
      <w:bCs/>
      <w:sz w:val="26"/>
      <w:szCs w:val="26"/>
    </w:rPr>
  </w:style>
  <w:style w:type="character" w:styleId="832" w:customStyle="1">
    <w:name w:val="Заголовок 5 Знак"/>
    <w:link w:val="820"/>
    <w:uiPriority w:val="9"/>
    <w:rPr>
      <w:rFonts w:ascii="Arial" w:hAnsi="Arial" w:eastAsia="Arial" w:cs="Arial"/>
      <w:b/>
      <w:bCs/>
      <w:sz w:val="24"/>
      <w:szCs w:val="24"/>
    </w:rPr>
  </w:style>
  <w:style w:type="character" w:styleId="833" w:customStyle="1">
    <w:name w:val="Заголовок 6 Знак"/>
    <w:link w:val="821"/>
    <w:uiPriority w:val="9"/>
    <w:rPr>
      <w:rFonts w:ascii="Arial" w:hAnsi="Arial" w:eastAsia="Arial" w:cs="Arial"/>
      <w:b/>
      <w:bCs/>
      <w:sz w:val="22"/>
      <w:szCs w:val="22"/>
    </w:rPr>
  </w:style>
  <w:style w:type="character" w:styleId="834" w:customStyle="1">
    <w:name w:val="Заголовок 7 Знак"/>
    <w:link w:val="822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835" w:customStyle="1">
    <w:name w:val="Заголовок 8 Знак"/>
    <w:link w:val="823"/>
    <w:uiPriority w:val="9"/>
    <w:rPr>
      <w:rFonts w:ascii="Arial" w:hAnsi="Arial" w:eastAsia="Arial" w:cs="Arial"/>
      <w:i/>
      <w:iCs/>
      <w:sz w:val="22"/>
      <w:szCs w:val="22"/>
    </w:rPr>
  </w:style>
  <w:style w:type="character" w:styleId="836" w:customStyle="1">
    <w:name w:val="Заголовок 9 Знак"/>
    <w:link w:val="824"/>
    <w:uiPriority w:val="9"/>
    <w:rPr>
      <w:rFonts w:ascii="Arial" w:hAnsi="Arial" w:eastAsia="Arial" w:cs="Arial"/>
      <w:i/>
      <w:iCs/>
      <w:sz w:val="21"/>
      <w:szCs w:val="21"/>
    </w:rPr>
  </w:style>
  <w:style w:type="paragraph" w:styleId="837">
    <w:name w:val="List Paragraph"/>
    <w:link w:val="1038"/>
    <w:uiPriority w:val="34"/>
    <w:qFormat/>
    <w:pPr>
      <w:contextualSpacing/>
      <w:ind w:left="720"/>
    </w:pPr>
    <w:rPr>
      <w:lang w:eastAsia="zh-CN"/>
    </w:rPr>
  </w:style>
  <w:style w:type="paragraph" w:styleId="838">
    <w:name w:val="No Spacing"/>
    <w:uiPriority w:val="1"/>
    <w:qFormat/>
    <w:rPr>
      <w:lang w:eastAsia="zh-CN"/>
    </w:rPr>
  </w:style>
  <w:style w:type="paragraph" w:styleId="839">
    <w:name w:val="Title"/>
    <w:basedOn w:val="815"/>
    <w:next w:val="1020"/>
    <w:link w:val="840"/>
    <w:pPr>
      <w:keepNext/>
      <w:spacing w:before="240" w:after="120"/>
    </w:pPr>
    <w:rPr>
      <w:rFonts w:ascii="Liberation Sans" w:hAnsi="Liberation Sans" w:eastAsia="Microsoft YaHei"/>
      <w:sz w:val="28"/>
      <w:szCs w:val="28"/>
    </w:rPr>
  </w:style>
  <w:style w:type="character" w:styleId="840" w:customStyle="1">
    <w:name w:val="Название Знак"/>
    <w:link w:val="839"/>
    <w:uiPriority w:val="10"/>
    <w:rPr>
      <w:sz w:val="48"/>
      <w:szCs w:val="48"/>
    </w:rPr>
  </w:style>
  <w:style w:type="paragraph" w:styleId="841">
    <w:name w:val="Subtitle"/>
    <w:link w:val="842"/>
    <w:uiPriority w:val="11"/>
    <w:qFormat/>
    <w:pPr>
      <w:spacing w:before="200" w:after="200"/>
    </w:pPr>
    <w:rPr>
      <w:sz w:val="24"/>
      <w:szCs w:val="24"/>
      <w:lang w:eastAsia="zh-CN"/>
    </w:rPr>
  </w:style>
  <w:style w:type="character" w:styleId="842" w:customStyle="1">
    <w:name w:val="Подзаголовок Знак"/>
    <w:link w:val="841"/>
    <w:uiPriority w:val="11"/>
    <w:rPr>
      <w:sz w:val="24"/>
      <w:szCs w:val="24"/>
    </w:rPr>
  </w:style>
  <w:style w:type="paragraph" w:styleId="843">
    <w:name w:val="Quote"/>
    <w:link w:val="844"/>
    <w:uiPriority w:val="29"/>
    <w:qFormat/>
    <w:pPr>
      <w:ind w:left="720" w:right="720"/>
    </w:pPr>
    <w:rPr>
      <w:i/>
      <w:lang w:eastAsia="zh-CN"/>
    </w:rPr>
  </w:style>
  <w:style w:type="character" w:styleId="844" w:customStyle="1">
    <w:name w:val="Цитата 2 Знак"/>
    <w:link w:val="843"/>
    <w:uiPriority w:val="29"/>
    <w:rPr>
      <w:i/>
    </w:rPr>
  </w:style>
  <w:style w:type="paragraph" w:styleId="845">
    <w:name w:val="Intense Quote"/>
    <w:link w:val="846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  <w:lang w:eastAsia="zh-CN"/>
    </w:rPr>
  </w:style>
  <w:style w:type="character" w:styleId="846" w:customStyle="1">
    <w:name w:val="Выделенная цитата Знак"/>
    <w:link w:val="845"/>
    <w:uiPriority w:val="30"/>
    <w:rPr>
      <w:i/>
    </w:rPr>
  </w:style>
  <w:style w:type="paragraph" w:styleId="847">
    <w:name w:val="Header"/>
    <w:basedOn w:val="815"/>
    <w:link w:val="1036"/>
    <w:pPr>
      <w:tabs>
        <w:tab w:val="center" w:pos="4677" w:leader="none"/>
        <w:tab w:val="right" w:pos="9355" w:leader="none"/>
      </w:tabs>
    </w:pPr>
  </w:style>
  <w:style w:type="character" w:styleId="848" w:customStyle="1">
    <w:name w:val="Header Char"/>
    <w:uiPriority w:val="99"/>
  </w:style>
  <w:style w:type="paragraph" w:styleId="849">
    <w:name w:val="Footer"/>
    <w:basedOn w:val="815"/>
    <w:link w:val="1037"/>
    <w:pPr>
      <w:tabs>
        <w:tab w:val="center" w:pos="4677" w:leader="none"/>
        <w:tab w:val="right" w:pos="9355" w:leader="none"/>
      </w:tabs>
    </w:pPr>
  </w:style>
  <w:style w:type="character" w:styleId="850" w:customStyle="1">
    <w:name w:val="Footer Char"/>
    <w:uiPriority w:val="99"/>
  </w:style>
  <w:style w:type="paragraph" w:styleId="851">
    <w:name w:val="Caption"/>
    <w:basedOn w:val="815"/>
    <w:link w:val="852"/>
    <w:pPr>
      <w:spacing w:before="120" w:after="120"/>
      <w:suppressLineNumbers/>
    </w:pPr>
    <w:rPr>
      <w:i/>
      <w:iCs/>
      <w:sz w:val="24"/>
      <w:szCs w:val="24"/>
    </w:rPr>
  </w:style>
  <w:style w:type="character" w:styleId="852" w:customStyle="1">
    <w:name w:val="Caption Char"/>
    <w:uiPriority w:val="99"/>
  </w:style>
  <w:style w:type="table" w:styleId="853">
    <w:name w:val="Table Grid"/>
    <w:uiPriority w:val="59"/>
    <w:rPr>
      <w:lang w:eastAsia="zh-C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54" w:customStyle="1">
    <w:name w:val="Table Grid Light"/>
    <w:uiPriority w:val="59"/>
    <w:rPr>
      <w:lang w:eastAsia="zh-CN"/>
    </w:rPr>
    <w:tblPr>
      <w:tblInd w:w="0" w:type="dxa"/>
      <w:tblBorders>
        <w:top w:val="single" w:color="AFAFAF" w:sz="4" w:space="0"/>
        <w:left w:val="single" w:color="AFAFAF" w:sz="4" w:space="0"/>
        <w:bottom w:val="single" w:color="AFAFAF" w:sz="4" w:space="0"/>
        <w:right w:val="single" w:color="AFAFAF" w:sz="4" w:space="0"/>
        <w:insideH w:val="single" w:color="AFAFAF" w:sz="4" w:space="0"/>
        <w:insideV w:val="single" w:color="AFAFA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55" w:customStyle="1">
    <w:name w:val="Plain Table 1"/>
    <w:uiPriority w:val="59"/>
    <w:rPr>
      <w:lang w:eastAsia="zh-CN"/>
    </w:rPr>
    <w:tblPr>
      <w:tblInd w:w="0" w:type="dxa"/>
      <w:tblBorders>
        <w:top w:val="single" w:color="AFAFAF" w:sz="4" w:space="0"/>
        <w:left w:val="single" w:color="AFAFAF" w:sz="4" w:space="0"/>
        <w:bottom w:val="single" w:color="AFAFAF" w:sz="4" w:space="0"/>
        <w:right w:val="single" w:color="AFAFAF" w:sz="4" w:space="0"/>
        <w:insideH w:val="single" w:color="AFAFAF" w:sz="4" w:space="0"/>
        <w:insideV w:val="single" w:color="AFAFA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56" w:customStyle="1">
    <w:name w:val="Plain Table 2"/>
    <w:uiPriority w:val="59"/>
    <w:rPr>
      <w:lang w:eastAsia="zh-CN"/>
    </w:rPr>
    <w:tblPr>
      <w:tblInd w:w="0" w:type="dxa"/>
      <w:tblBorders>
        <w:top w:val="single" w:color="000000" w:sz="4" w:space="0"/>
        <w:left w:val="none" w:color="000000" w:sz="4" w:space="0"/>
        <w:bottom w:val="single" w:color="000000" w:sz="4" w:space="0"/>
        <w:right w:val="non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57" w:customStyle="1">
    <w:name w:val="Plain Table 3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58" w:customStyle="1">
    <w:name w:val="Plain Table 4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59" w:customStyle="1">
    <w:name w:val="Plain Table 5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860" w:customStyle="1">
    <w:name w:val="Grid Table 1 Light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89898" w:sz="4" w:space="0"/>
        <w:left w:val="single" w:color="989898" w:sz="4" w:space="0"/>
        <w:bottom w:val="single" w:color="989898" w:sz="4" w:space="0"/>
        <w:right w:val="single" w:color="989898" w:sz="4" w:space="0"/>
        <w:insideH w:val="single" w:color="989898" w:sz="4" w:space="0"/>
        <w:insideV w:val="single" w:color="98989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1" w:customStyle="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CBE4" w:sz="4" w:space="0"/>
        <w:left w:val="single" w:color="B7CBE4" w:sz="4" w:space="0"/>
        <w:bottom w:val="single" w:color="B7CBE4" w:sz="4" w:space="0"/>
        <w:right w:val="single" w:color="B7CBE4" w:sz="4" w:space="0"/>
        <w:insideH w:val="single" w:color="B7CBE4" w:sz="4" w:space="0"/>
        <w:insideV w:val="single" w:color="B7CBE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2" w:customStyle="1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E5B7B6" w:sz="4" w:space="0"/>
        <w:left w:val="single" w:color="E5B7B6" w:sz="4" w:space="0"/>
        <w:bottom w:val="single" w:color="E5B7B6" w:sz="4" w:space="0"/>
        <w:right w:val="single" w:color="E5B7B6" w:sz="4" w:space="0"/>
        <w:insideH w:val="single" w:color="E5B7B6" w:sz="4" w:space="0"/>
        <w:insideV w:val="single" w:color="E5B7B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3" w:customStyle="1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6E3BB" w:sz="4" w:space="0"/>
        <w:left w:val="single" w:color="D6E3BB" w:sz="4" w:space="0"/>
        <w:bottom w:val="single" w:color="D6E3BB" w:sz="4" w:space="0"/>
        <w:right w:val="single" w:color="D6E3BB" w:sz="4" w:space="0"/>
        <w:insideH w:val="single" w:color="D6E3BB" w:sz="4" w:space="0"/>
        <w:insideV w:val="single" w:color="D6E3B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4" w:customStyle="1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BC0D9" w:sz="4" w:space="0"/>
        <w:left w:val="single" w:color="CBC0D9" w:sz="4" w:space="0"/>
        <w:bottom w:val="single" w:color="CBC0D9" w:sz="4" w:space="0"/>
        <w:right w:val="single" w:color="CBC0D9" w:sz="4" w:space="0"/>
        <w:insideH w:val="single" w:color="CBC0D9" w:sz="4" w:space="0"/>
        <w:insideV w:val="single" w:color="CBC0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5" w:customStyle="1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6" w:customStyle="1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7" w:customStyle="1">
    <w:name w:val="Grid Table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6A6A6A" w:sz="4" w:space="0"/>
        <w:insideH w:val="single" w:color="6A6A6A" w:sz="4" w:space="0"/>
        <w:insideV w:val="single" w:color="6A6A6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8" w:customStyle="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5D8AC2" w:sz="4" w:space="0"/>
        <w:insideH w:val="single" w:color="5D8AC2" w:sz="4" w:space="0"/>
        <w:insideV w:val="single" w:color="5D8AC2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9" w:customStyle="1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0" w:customStyle="1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1" w:customStyle="1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2" w:customStyle="1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3" w:customStyle="1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4" w:customStyle="1">
    <w:name w:val="Grid Table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6A6A6A" w:sz="4" w:space="0"/>
        <w:insideH w:val="single" w:color="6A6A6A" w:sz="4" w:space="0"/>
        <w:insideV w:val="single" w:color="6A6A6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5" w:customStyle="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5D8AC2" w:sz="4" w:space="0"/>
        <w:insideH w:val="single" w:color="5D8AC2" w:sz="4" w:space="0"/>
        <w:insideV w:val="single" w:color="5D8AC2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6" w:customStyle="1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7" w:customStyle="1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8" w:customStyle="1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9" w:customStyle="1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0" w:customStyle="1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1" w:customStyle="1">
    <w:name w:val="Grid Table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6F6F6F" w:sz="4" w:space="0"/>
        <w:left w:val="single" w:color="6F6F6F" w:sz="4" w:space="0"/>
        <w:bottom w:val="single" w:color="6F6F6F" w:sz="4" w:space="0"/>
        <w:right w:val="single" w:color="6F6F6F" w:sz="4" w:space="0"/>
        <w:insideH w:val="single" w:color="6F6F6F" w:sz="4" w:space="0"/>
        <w:insideV w:val="single" w:color="6F6F6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2" w:customStyle="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left w:val="single" w:color="9BB7D9" w:sz="4" w:space="0"/>
        <w:bottom w:val="single" w:color="9BB7D9" w:sz="4" w:space="0"/>
        <w:right w:val="single" w:color="9BB7D9" w:sz="4" w:space="0"/>
        <w:insideH w:val="single" w:color="9BB7D9" w:sz="4" w:space="0"/>
        <w:insideV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3" w:customStyle="1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left w:val="single" w:color="DB9B9A" w:sz="4" w:space="0"/>
        <w:bottom w:val="single" w:color="DB9B9A" w:sz="4" w:space="0"/>
        <w:right w:val="single" w:color="DB9B9A" w:sz="4" w:space="0"/>
        <w:insideH w:val="single" w:color="DB9B9A" w:sz="4" w:space="0"/>
        <w:insideV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4" w:customStyle="1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left w:val="single" w:color="C6D8A1" w:sz="4" w:space="0"/>
        <w:bottom w:val="single" w:color="C6D8A1" w:sz="4" w:space="0"/>
        <w:right w:val="single" w:color="C6D8A1" w:sz="4" w:space="0"/>
        <w:insideH w:val="single" w:color="C6D8A1" w:sz="4" w:space="0"/>
        <w:insideV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5" w:customStyle="1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left w:val="single" w:color="B7A7CA" w:sz="4" w:space="0"/>
        <w:bottom w:val="single" w:color="B7A7CA" w:sz="4" w:space="0"/>
        <w:right w:val="single" w:color="B7A7CA" w:sz="4" w:space="0"/>
        <w:insideH w:val="single" w:color="B7A7CA" w:sz="4" w:space="0"/>
        <w:insideV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6" w:customStyle="1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left w:val="single" w:color="99D0DE" w:sz="4" w:space="0"/>
        <w:bottom w:val="single" w:color="99D0DE" w:sz="4" w:space="0"/>
        <w:right w:val="single" w:color="99D0DE" w:sz="4" w:space="0"/>
        <w:insideH w:val="single" w:color="99D0DE" w:sz="4" w:space="0"/>
        <w:insideV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7" w:customStyle="1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left w:val="single" w:color="FAC396" w:sz="4" w:space="0"/>
        <w:bottom w:val="single" w:color="FAC396" w:sz="4" w:space="0"/>
        <w:right w:val="single" w:color="FAC396" w:sz="4" w:space="0"/>
        <w:insideH w:val="single" w:color="FAC396" w:sz="4" w:space="0"/>
        <w:insideV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8" w:customStyle="1">
    <w:name w:val="Grid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bfbfbf" w:fill="bfbfbf"/>
      <w:tblCellMar>
        <w:left w:w="0" w:type="dxa"/>
        <w:top w:w="0" w:type="dxa"/>
        <w:right w:w="0" w:type="dxa"/>
        <w:bottom w:w="0" w:type="dxa"/>
      </w:tblCellMar>
    </w:tblPr>
  </w:style>
  <w:style w:type="table" w:styleId="889" w:customStyle="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dae5f1" w:fill="dae5f1"/>
      <w:tblCellMar>
        <w:left w:w="0" w:type="dxa"/>
        <w:top w:w="0" w:type="dxa"/>
        <w:right w:w="0" w:type="dxa"/>
        <w:bottom w:w="0" w:type="dxa"/>
      </w:tblCellMar>
    </w:tblPr>
  </w:style>
  <w:style w:type="table" w:styleId="890" w:customStyle="1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f2dcdc" w:fill="f2dcdc"/>
      <w:tblCellMar>
        <w:left w:w="0" w:type="dxa"/>
        <w:top w:w="0" w:type="dxa"/>
        <w:right w:w="0" w:type="dxa"/>
        <w:bottom w:w="0" w:type="dxa"/>
      </w:tblCellMar>
    </w:tblPr>
  </w:style>
  <w:style w:type="table" w:styleId="891" w:customStyle="1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eaf1dc" w:fill="eaf1dc"/>
      <w:tblCellMar>
        <w:left w:w="0" w:type="dxa"/>
        <w:top w:w="0" w:type="dxa"/>
        <w:right w:w="0" w:type="dxa"/>
        <w:bottom w:w="0" w:type="dxa"/>
      </w:tblCellMar>
    </w:tblPr>
  </w:style>
  <w:style w:type="table" w:styleId="892" w:customStyle="1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e5dfec" w:fill="e5dfec"/>
      <w:tblCellMar>
        <w:left w:w="0" w:type="dxa"/>
        <w:top w:w="0" w:type="dxa"/>
        <w:right w:w="0" w:type="dxa"/>
        <w:bottom w:w="0" w:type="dxa"/>
      </w:tblCellMar>
    </w:tblPr>
  </w:style>
  <w:style w:type="table" w:styleId="893" w:customStyle="1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daeef3" w:fill="daeef3"/>
      <w:tblCellMar>
        <w:left w:w="0" w:type="dxa"/>
        <w:top w:w="0" w:type="dxa"/>
        <w:right w:w="0" w:type="dxa"/>
        <w:bottom w:w="0" w:type="dxa"/>
      </w:tblCellMar>
    </w:tblPr>
  </w:style>
  <w:style w:type="table" w:styleId="894" w:customStyle="1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shd w:val="clear" w:color="fde9d8" w:fill="fde9d8"/>
      <w:tblCellMar>
        <w:left w:w="0" w:type="dxa"/>
        <w:top w:w="0" w:type="dxa"/>
        <w:right w:w="0" w:type="dxa"/>
        <w:bottom w:w="0" w:type="dxa"/>
      </w:tblCellMar>
    </w:tblPr>
  </w:style>
  <w:style w:type="table" w:styleId="895" w:customStyle="1">
    <w:name w:val="Grid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4" w:space="0"/>
        <w:left w:val="single" w:color="7F7F7F" w:sz="4" w:space="0"/>
        <w:bottom w:val="single" w:color="7F7F7F" w:sz="4" w:space="0"/>
        <w:right w:val="single" w:color="7F7F7F" w:sz="4" w:space="0"/>
        <w:insideH w:val="single" w:color="7F7F7F" w:sz="4" w:space="0"/>
        <w:insideV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6" w:customStyle="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A6BFDD" w:sz="4" w:space="0"/>
        <w:left w:val="single" w:color="A6BFDD" w:sz="4" w:space="0"/>
        <w:bottom w:val="single" w:color="A6BFDD" w:sz="4" w:space="0"/>
        <w:right w:val="single" w:color="A6BFDD" w:sz="4" w:space="0"/>
        <w:insideH w:val="single" w:color="A6BFDD" w:sz="4" w:space="0"/>
        <w:insideV w:val="single" w:color="A6BFD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7" w:customStyle="1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left w:val="single" w:color="D99695" w:sz="4" w:space="0"/>
        <w:bottom w:val="single" w:color="D99695" w:sz="4" w:space="0"/>
        <w:right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8" w:customStyle="1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ABB59" w:sz="4" w:space="0"/>
        <w:left w:val="single" w:color="9ABB59" w:sz="4" w:space="0"/>
        <w:bottom w:val="single" w:color="9ABB59" w:sz="4" w:space="0"/>
        <w:right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9" w:customStyle="1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left w:val="single" w:color="B2A1C6" w:sz="4" w:space="0"/>
        <w:bottom w:val="single" w:color="B2A1C6" w:sz="4" w:space="0"/>
        <w:right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0" w:customStyle="1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BACC6" w:sz="4" w:space="0"/>
        <w:left w:val="single" w:color="4BACC6" w:sz="4" w:space="0"/>
        <w:bottom w:val="single" w:color="4BACC6" w:sz="4" w:space="0"/>
        <w:right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1" w:customStyle="1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79646" w:sz="4" w:space="0"/>
        <w:left w:val="single" w:color="F79646" w:sz="4" w:space="0"/>
        <w:bottom w:val="single" w:color="F79646" w:sz="4" w:space="0"/>
        <w:right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2" w:customStyle="1">
    <w:name w:val="Grid Table 7 Colorful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7F7F7F" w:sz="4" w:space="0"/>
        <w:right w:val="single" w:color="7F7F7F" w:sz="4" w:space="0"/>
        <w:insideH w:val="single" w:color="7F7F7F" w:sz="4" w:space="0"/>
        <w:insideV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3" w:customStyle="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A6BFDD" w:sz="4" w:space="0"/>
        <w:right w:val="single" w:color="A6BFDD" w:sz="4" w:space="0"/>
        <w:insideH w:val="single" w:color="A6BFDD" w:sz="4" w:space="0"/>
        <w:insideV w:val="single" w:color="A6BFD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4" w:customStyle="1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D99695" w:sz="4" w:space="0"/>
        <w:right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5" w:customStyle="1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ABB59" w:sz="4" w:space="0"/>
        <w:right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6" w:customStyle="1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B2A1C6" w:sz="4" w:space="0"/>
        <w:right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7" w:customStyle="1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99D0DE" w:sz="4" w:space="0"/>
        <w:right w:val="single" w:color="99D0DE" w:sz="4" w:space="0"/>
        <w:insideH w:val="single" w:color="99D0DE" w:sz="4" w:space="0"/>
        <w:insideV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8" w:customStyle="1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color="FAC396" w:sz="4" w:space="0"/>
        <w:right w:val="single" w:color="FAC396" w:sz="4" w:space="0"/>
        <w:insideH w:val="single" w:color="FAC396" w:sz="4" w:space="0"/>
        <w:insideV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9" w:customStyle="1">
    <w:name w:val="List Table 1 Light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10" w:customStyle="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11" w:customStyle="1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12" w:customStyle="1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13" w:customStyle="1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14" w:customStyle="1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15" w:customStyle="1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16" w:customStyle="1">
    <w:name w:val="List Table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6F6F6F" w:sz="4" w:space="0"/>
        <w:bottom w:val="single" w:color="6F6F6F" w:sz="4" w:space="0"/>
        <w:insideH w:val="single" w:color="6F6F6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17" w:customStyle="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bottom w:val="single" w:color="9BB7D9" w:sz="4" w:space="0"/>
        <w:insideH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18" w:customStyle="1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bottom w:val="single" w:color="DB9B9A" w:sz="4" w:space="0"/>
        <w:insideH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19" w:customStyle="1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bottom w:val="single" w:color="C6D8A1" w:sz="4" w:space="0"/>
        <w:insideH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0" w:customStyle="1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bottom w:val="single" w:color="B7A7CA" w:sz="4" w:space="0"/>
        <w:insideH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1" w:customStyle="1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bottom w:val="single" w:color="99D0DE" w:sz="4" w:space="0"/>
        <w:insideH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2" w:customStyle="1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bottom w:val="single" w:color="FAC396" w:sz="4" w:space="0"/>
        <w:insideH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3" w:customStyle="1">
    <w:name w:val="List Table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4" w:customStyle="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4" w:space="0"/>
        <w:left w:val="single" w:color="4F81BD" w:sz="4" w:space="0"/>
        <w:bottom w:val="single" w:color="4F81BD" w:sz="4" w:space="0"/>
        <w:right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5" w:customStyle="1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left w:val="single" w:color="D99695" w:sz="4" w:space="0"/>
        <w:bottom w:val="single" w:color="D99695" w:sz="4" w:space="0"/>
        <w:right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6" w:customStyle="1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4" w:space="0"/>
        <w:left w:val="single" w:color="C3D69B" w:sz="4" w:space="0"/>
        <w:bottom w:val="single" w:color="C3D69B" w:sz="4" w:space="0"/>
        <w:right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7" w:customStyle="1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left w:val="single" w:color="B2A1C6" w:sz="4" w:space="0"/>
        <w:bottom w:val="single" w:color="B2A1C6" w:sz="4" w:space="0"/>
        <w:right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8" w:customStyle="1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4" w:space="0"/>
        <w:left w:val="single" w:color="92CCDC" w:sz="4" w:space="0"/>
        <w:bottom w:val="single" w:color="92CCDC" w:sz="4" w:space="0"/>
        <w:right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9" w:customStyle="1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4" w:space="0"/>
        <w:left w:val="single" w:color="FAC090" w:sz="4" w:space="0"/>
        <w:bottom w:val="single" w:color="FAC090" w:sz="4" w:space="0"/>
        <w:right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0" w:customStyle="1">
    <w:name w:val="List Table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1" w:customStyle="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BB7D9" w:sz="4" w:space="0"/>
        <w:left w:val="single" w:color="9BB7D9" w:sz="4" w:space="0"/>
        <w:bottom w:val="single" w:color="9BB7D9" w:sz="4" w:space="0"/>
        <w:right w:val="single" w:color="9BB7D9" w:sz="4" w:space="0"/>
        <w:insideH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2" w:customStyle="1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B9B9A" w:sz="4" w:space="0"/>
        <w:left w:val="single" w:color="DB9B9A" w:sz="4" w:space="0"/>
        <w:bottom w:val="single" w:color="DB9B9A" w:sz="4" w:space="0"/>
        <w:right w:val="single" w:color="DB9B9A" w:sz="4" w:space="0"/>
        <w:insideH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3" w:customStyle="1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6D8A1" w:sz="4" w:space="0"/>
        <w:left w:val="single" w:color="C6D8A1" w:sz="4" w:space="0"/>
        <w:bottom w:val="single" w:color="C6D8A1" w:sz="4" w:space="0"/>
        <w:right w:val="single" w:color="C6D8A1" w:sz="4" w:space="0"/>
        <w:insideH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4" w:customStyle="1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A7CA" w:sz="4" w:space="0"/>
        <w:left w:val="single" w:color="B7A7CA" w:sz="4" w:space="0"/>
        <w:bottom w:val="single" w:color="B7A7CA" w:sz="4" w:space="0"/>
        <w:right w:val="single" w:color="B7A7CA" w:sz="4" w:space="0"/>
        <w:insideH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5" w:customStyle="1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9D0DE" w:sz="4" w:space="0"/>
        <w:left w:val="single" w:color="99D0DE" w:sz="4" w:space="0"/>
        <w:bottom w:val="single" w:color="99D0DE" w:sz="4" w:space="0"/>
        <w:right w:val="single" w:color="99D0DE" w:sz="4" w:space="0"/>
        <w:insideH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6" w:customStyle="1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396" w:sz="4" w:space="0"/>
        <w:left w:val="single" w:color="FAC396" w:sz="4" w:space="0"/>
        <w:bottom w:val="single" w:color="FAC396" w:sz="4" w:space="0"/>
        <w:right w:val="single" w:color="FAC396" w:sz="4" w:space="0"/>
        <w:insideH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7" w:customStyle="1">
    <w:name w:val="List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32" w:space="0"/>
        <w:left w:val="single" w:color="7F7F7F" w:sz="32" w:space="0"/>
        <w:bottom w:val="single" w:color="7F7F7F" w:sz="32" w:space="0"/>
        <w:right w:val="single" w:color="7F7F7F" w:sz="32" w:space="0"/>
      </w:tblBorders>
      <w:shd w:val="clear" w:color="7f7f7f" w:fill="7f7f7f"/>
      <w:tblCellMar>
        <w:left w:w="0" w:type="dxa"/>
        <w:top w:w="0" w:type="dxa"/>
        <w:right w:w="0" w:type="dxa"/>
        <w:bottom w:w="0" w:type="dxa"/>
      </w:tblCellMar>
    </w:tblPr>
  </w:style>
  <w:style w:type="table" w:styleId="938" w:customStyle="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32" w:space="0"/>
        <w:left w:val="single" w:color="4F81BD" w:sz="32" w:space="0"/>
        <w:bottom w:val="single" w:color="4F81BD" w:sz="32" w:space="0"/>
        <w:right w:val="single" w:color="4F81BD" w:sz="32" w:space="0"/>
      </w:tblBorders>
      <w:shd w:val="clear" w:color="4f81bd" w:fill="4f81bd"/>
      <w:tblCellMar>
        <w:left w:w="0" w:type="dxa"/>
        <w:top w:w="0" w:type="dxa"/>
        <w:right w:w="0" w:type="dxa"/>
        <w:bottom w:w="0" w:type="dxa"/>
      </w:tblCellMar>
    </w:tblPr>
  </w:style>
  <w:style w:type="table" w:styleId="939" w:customStyle="1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32" w:space="0"/>
        <w:left w:val="single" w:color="D99695" w:sz="32" w:space="0"/>
        <w:bottom w:val="single" w:color="D99695" w:sz="32" w:space="0"/>
        <w:right w:val="single" w:color="D99695" w:sz="32" w:space="0"/>
      </w:tblBorders>
      <w:shd w:val="clear" w:color="d99695" w:fill="d99695"/>
      <w:tblCellMar>
        <w:left w:w="0" w:type="dxa"/>
        <w:top w:w="0" w:type="dxa"/>
        <w:right w:w="0" w:type="dxa"/>
        <w:bottom w:w="0" w:type="dxa"/>
      </w:tblCellMar>
    </w:tblPr>
  </w:style>
  <w:style w:type="table" w:styleId="940" w:customStyle="1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32" w:space="0"/>
        <w:left w:val="single" w:color="C3D69B" w:sz="32" w:space="0"/>
        <w:bottom w:val="single" w:color="C3D69B" w:sz="32" w:space="0"/>
        <w:right w:val="single" w:color="C3D69B" w:sz="32" w:space="0"/>
      </w:tblBorders>
      <w:shd w:val="clear" w:color="c3d69b" w:fill="c3d69b"/>
      <w:tblCellMar>
        <w:left w:w="0" w:type="dxa"/>
        <w:top w:w="0" w:type="dxa"/>
        <w:right w:w="0" w:type="dxa"/>
        <w:bottom w:w="0" w:type="dxa"/>
      </w:tblCellMar>
    </w:tblPr>
  </w:style>
  <w:style w:type="table" w:styleId="941" w:customStyle="1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32" w:space="0"/>
        <w:left w:val="single" w:color="B2A1C6" w:sz="32" w:space="0"/>
        <w:bottom w:val="single" w:color="B2A1C6" w:sz="32" w:space="0"/>
        <w:right w:val="single" w:color="B2A1C6" w:sz="32" w:space="0"/>
      </w:tblBorders>
      <w:shd w:val="clear" w:color="b2a1c6" w:fill="b2a1c6"/>
      <w:tblCellMar>
        <w:left w:w="0" w:type="dxa"/>
        <w:top w:w="0" w:type="dxa"/>
        <w:right w:w="0" w:type="dxa"/>
        <w:bottom w:w="0" w:type="dxa"/>
      </w:tblCellMar>
    </w:tblPr>
  </w:style>
  <w:style w:type="table" w:styleId="942" w:customStyle="1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32" w:space="0"/>
        <w:left w:val="single" w:color="92CCDC" w:sz="32" w:space="0"/>
        <w:bottom w:val="single" w:color="92CCDC" w:sz="32" w:space="0"/>
        <w:right w:val="single" w:color="92CCDC" w:sz="32" w:space="0"/>
      </w:tblBorders>
      <w:shd w:val="clear" w:color="92ccdc" w:fill="92ccdc"/>
      <w:tblCellMar>
        <w:left w:w="0" w:type="dxa"/>
        <w:top w:w="0" w:type="dxa"/>
        <w:right w:w="0" w:type="dxa"/>
        <w:bottom w:w="0" w:type="dxa"/>
      </w:tblCellMar>
    </w:tblPr>
  </w:style>
  <w:style w:type="table" w:styleId="943" w:customStyle="1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32" w:space="0"/>
        <w:left w:val="single" w:color="FAC090" w:sz="32" w:space="0"/>
        <w:bottom w:val="single" w:color="FAC090" w:sz="32" w:space="0"/>
        <w:right w:val="single" w:color="FAC090" w:sz="32" w:space="0"/>
      </w:tblBorders>
      <w:shd w:val="clear" w:color="fac090" w:fill="fac090"/>
      <w:tblCellMar>
        <w:left w:w="0" w:type="dxa"/>
        <w:top w:w="0" w:type="dxa"/>
        <w:right w:w="0" w:type="dxa"/>
        <w:bottom w:w="0" w:type="dxa"/>
      </w:tblCellMar>
    </w:tblPr>
  </w:style>
  <w:style w:type="table" w:styleId="944" w:customStyle="1">
    <w:name w:val="List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7F7F7F" w:sz="4" w:space="0"/>
        <w:bottom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45" w:customStyle="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4F81BD" w:sz="4" w:space="0"/>
        <w:bottom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46" w:customStyle="1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9695" w:sz="4" w:space="0"/>
        <w:bottom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47" w:customStyle="1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3D69B" w:sz="4" w:space="0"/>
        <w:bottom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48" w:customStyle="1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2A1C6" w:sz="4" w:space="0"/>
        <w:bottom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49" w:customStyle="1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92CCDC" w:sz="4" w:space="0"/>
        <w:bottom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50" w:customStyle="1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AC090" w:sz="4" w:space="0"/>
        <w:bottom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51" w:customStyle="1">
    <w:name w:val="List Table 7 Colorful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52" w:customStyle="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53" w:customStyle="1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54" w:customStyle="1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55" w:customStyle="1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56" w:customStyle="1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57" w:customStyle="1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58" w:customStyle="1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59" w:customStyle="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60" w:customStyle="1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61" w:customStyle="1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62" w:customStyle="1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63" w:customStyle="1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64" w:customStyle="1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965" w:customStyle="1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595959" w:sz="4" w:space="0"/>
        <w:left w:val="single" w:color="595959" w:sz="4" w:space="0"/>
        <w:bottom w:val="single" w:color="595959" w:sz="4" w:space="0"/>
        <w:right w:val="single" w:color="595959" w:sz="4" w:space="0"/>
        <w:insideH w:val="single" w:color="595959" w:sz="4" w:space="0"/>
        <w:insideV w:val="single" w:color="5959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66" w:customStyle="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2A4A71" w:sz="4" w:space="0"/>
        <w:left w:val="single" w:color="2A4A71" w:sz="4" w:space="0"/>
        <w:bottom w:val="single" w:color="2A4A71" w:sz="4" w:space="0"/>
        <w:right w:val="single" w:color="2A4A71" w:sz="4" w:space="0"/>
        <w:insideH w:val="single" w:color="2A4A71" w:sz="4" w:space="0"/>
        <w:insideV w:val="single" w:color="2A4A7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67" w:customStyle="1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732A29" w:sz="4" w:space="0"/>
        <w:left w:val="single" w:color="732A29" w:sz="4" w:space="0"/>
        <w:bottom w:val="single" w:color="732A29" w:sz="4" w:space="0"/>
        <w:right w:val="single" w:color="732A29" w:sz="4" w:space="0"/>
        <w:insideH w:val="single" w:color="732A29" w:sz="4" w:space="0"/>
        <w:insideV w:val="single" w:color="732A2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68" w:customStyle="1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5B722E" w:sz="4" w:space="0"/>
        <w:left w:val="single" w:color="5B722E" w:sz="4" w:space="0"/>
        <w:bottom w:val="single" w:color="5B722E" w:sz="4" w:space="0"/>
        <w:right w:val="single" w:color="5B722E" w:sz="4" w:space="0"/>
        <w:insideH w:val="single" w:color="5B722E" w:sz="4" w:space="0"/>
        <w:insideV w:val="single" w:color="5B722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69" w:customStyle="1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4A395F" w:sz="4" w:space="0"/>
        <w:left w:val="single" w:color="4A395F" w:sz="4" w:space="0"/>
        <w:bottom w:val="single" w:color="4A395F" w:sz="4" w:space="0"/>
        <w:right w:val="single" w:color="4A395F" w:sz="4" w:space="0"/>
        <w:insideH w:val="single" w:color="4A395F" w:sz="4" w:space="0"/>
        <w:insideV w:val="single" w:color="4A395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70" w:customStyle="1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266779" w:sz="4" w:space="0"/>
        <w:left w:val="single" w:color="266779" w:sz="4" w:space="0"/>
        <w:bottom w:val="single" w:color="266779" w:sz="4" w:space="0"/>
        <w:right w:val="single" w:color="266779" w:sz="4" w:space="0"/>
        <w:insideH w:val="single" w:color="266779" w:sz="4" w:space="0"/>
        <w:insideV w:val="single" w:color="26677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71" w:customStyle="1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color="B15407" w:sz="4" w:space="0"/>
        <w:left w:val="single" w:color="B15407" w:sz="4" w:space="0"/>
        <w:bottom w:val="single" w:color="B15407" w:sz="4" w:space="0"/>
        <w:right w:val="single" w:color="B15407" w:sz="4" w:space="0"/>
        <w:insideH w:val="single" w:color="B15407" w:sz="4" w:space="0"/>
        <w:insideV w:val="single" w:color="B15407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72" w:customStyle="1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9D9D9" w:sz="4" w:space="0"/>
        <w:left w:val="single" w:color="D9D9D9" w:sz="4" w:space="0"/>
        <w:bottom w:val="single" w:color="D9D9D9" w:sz="4" w:space="0"/>
        <w:right w:val="single" w:color="D9D9D9" w:sz="4" w:space="0"/>
        <w:insideH w:val="single" w:color="D9D9D9" w:sz="4" w:space="0"/>
        <w:insideV w:val="single" w:color="D9D9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73" w:customStyle="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7CBE4" w:sz="4" w:space="0"/>
        <w:left w:val="single" w:color="B7CBE4" w:sz="4" w:space="0"/>
        <w:bottom w:val="single" w:color="B7CBE4" w:sz="4" w:space="0"/>
        <w:right w:val="single" w:color="B7CBE4" w:sz="4" w:space="0"/>
        <w:insideH w:val="single" w:color="B7CBE4" w:sz="4" w:space="0"/>
        <w:insideV w:val="single" w:color="B7CBE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74" w:customStyle="1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E5B7B6" w:sz="4" w:space="0"/>
        <w:left w:val="single" w:color="E5B7B6" w:sz="4" w:space="0"/>
        <w:bottom w:val="single" w:color="E5B7B6" w:sz="4" w:space="0"/>
        <w:right w:val="single" w:color="E5B7B6" w:sz="4" w:space="0"/>
        <w:insideH w:val="single" w:color="E5B7B6" w:sz="4" w:space="0"/>
        <w:insideV w:val="single" w:color="E5B7B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75" w:customStyle="1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D6E3BB" w:sz="4" w:space="0"/>
        <w:left w:val="single" w:color="D6E3BB" w:sz="4" w:space="0"/>
        <w:bottom w:val="single" w:color="D6E3BB" w:sz="4" w:space="0"/>
        <w:right w:val="single" w:color="D6E3BB" w:sz="4" w:space="0"/>
        <w:insideH w:val="single" w:color="D6E3BB" w:sz="4" w:space="0"/>
        <w:insideV w:val="single" w:color="D6E3B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76" w:customStyle="1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CBC0D9" w:sz="4" w:space="0"/>
        <w:left w:val="single" w:color="CBC0D9" w:sz="4" w:space="0"/>
        <w:bottom w:val="single" w:color="CBC0D9" w:sz="4" w:space="0"/>
        <w:right w:val="single" w:color="CBC0D9" w:sz="4" w:space="0"/>
        <w:insideH w:val="single" w:color="CBC0D9" w:sz="4" w:space="0"/>
        <w:insideV w:val="single" w:color="CBC0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77" w:customStyle="1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78" w:customStyle="1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character" w:styleId="979">
    <w:name w:val="Hyperlink"/>
    <w:uiPriority w:val="99"/>
    <w:unhideWhenUsed/>
    <w:rPr>
      <w:color w:val="0000ff"/>
      <w:u w:val="single"/>
    </w:rPr>
  </w:style>
  <w:style w:type="paragraph" w:styleId="980">
    <w:name w:val="footnote text"/>
    <w:link w:val="981"/>
    <w:uiPriority w:val="99"/>
    <w:semiHidden/>
    <w:unhideWhenUsed/>
    <w:pPr>
      <w:spacing w:after="40"/>
    </w:pPr>
    <w:rPr>
      <w:sz w:val="18"/>
      <w:lang w:eastAsia="zh-CN"/>
    </w:rPr>
  </w:style>
  <w:style w:type="character" w:styleId="981" w:customStyle="1">
    <w:name w:val="Текст сноски Знак"/>
    <w:link w:val="980"/>
    <w:uiPriority w:val="99"/>
    <w:rPr>
      <w:sz w:val="18"/>
    </w:rPr>
  </w:style>
  <w:style w:type="character" w:styleId="982">
    <w:name w:val="footnote reference"/>
    <w:uiPriority w:val="99"/>
    <w:unhideWhenUsed/>
    <w:rPr>
      <w:vertAlign w:val="superscript"/>
    </w:rPr>
  </w:style>
  <w:style w:type="paragraph" w:styleId="983">
    <w:name w:val="endnote text"/>
    <w:link w:val="984"/>
    <w:uiPriority w:val="99"/>
    <w:semiHidden/>
    <w:unhideWhenUsed/>
    <w:rPr>
      <w:lang w:eastAsia="zh-CN"/>
    </w:rPr>
  </w:style>
  <w:style w:type="character" w:styleId="984" w:customStyle="1">
    <w:name w:val="Текст концевой сноски Знак"/>
    <w:link w:val="983"/>
    <w:uiPriority w:val="99"/>
    <w:rPr>
      <w:sz w:val="20"/>
    </w:rPr>
  </w:style>
  <w:style w:type="character" w:styleId="985">
    <w:name w:val="endnote reference"/>
    <w:uiPriority w:val="99"/>
    <w:semiHidden/>
    <w:unhideWhenUsed/>
    <w:rPr>
      <w:vertAlign w:val="superscript"/>
    </w:rPr>
  </w:style>
  <w:style w:type="paragraph" w:styleId="986">
    <w:name w:val="toc 1"/>
    <w:uiPriority w:val="39"/>
    <w:unhideWhenUsed/>
    <w:pPr>
      <w:spacing w:after="57"/>
    </w:pPr>
    <w:rPr>
      <w:lang w:eastAsia="zh-CN"/>
    </w:rPr>
  </w:style>
  <w:style w:type="paragraph" w:styleId="987">
    <w:name w:val="toc 2"/>
    <w:uiPriority w:val="39"/>
    <w:unhideWhenUsed/>
    <w:pPr>
      <w:ind w:left="283"/>
      <w:spacing w:after="57"/>
    </w:pPr>
    <w:rPr>
      <w:lang w:eastAsia="zh-CN"/>
    </w:rPr>
  </w:style>
  <w:style w:type="paragraph" w:styleId="988">
    <w:name w:val="toc 3"/>
    <w:uiPriority w:val="39"/>
    <w:unhideWhenUsed/>
    <w:pPr>
      <w:ind w:left="567"/>
      <w:spacing w:after="57"/>
    </w:pPr>
    <w:rPr>
      <w:lang w:eastAsia="zh-CN"/>
    </w:rPr>
  </w:style>
  <w:style w:type="paragraph" w:styleId="989">
    <w:name w:val="toc 4"/>
    <w:uiPriority w:val="39"/>
    <w:unhideWhenUsed/>
    <w:pPr>
      <w:ind w:left="850"/>
      <w:spacing w:after="57"/>
    </w:pPr>
    <w:rPr>
      <w:lang w:eastAsia="zh-CN"/>
    </w:rPr>
  </w:style>
  <w:style w:type="paragraph" w:styleId="990">
    <w:name w:val="toc 5"/>
    <w:uiPriority w:val="39"/>
    <w:unhideWhenUsed/>
    <w:pPr>
      <w:ind w:left="1134"/>
      <w:spacing w:after="57"/>
    </w:pPr>
    <w:rPr>
      <w:lang w:eastAsia="zh-CN"/>
    </w:rPr>
  </w:style>
  <w:style w:type="paragraph" w:styleId="991">
    <w:name w:val="toc 6"/>
    <w:uiPriority w:val="39"/>
    <w:unhideWhenUsed/>
    <w:pPr>
      <w:ind w:left="1417"/>
      <w:spacing w:after="57"/>
    </w:pPr>
    <w:rPr>
      <w:lang w:eastAsia="zh-CN"/>
    </w:rPr>
  </w:style>
  <w:style w:type="paragraph" w:styleId="992">
    <w:name w:val="toc 7"/>
    <w:uiPriority w:val="39"/>
    <w:unhideWhenUsed/>
    <w:pPr>
      <w:ind w:left="1701"/>
      <w:spacing w:after="57"/>
    </w:pPr>
    <w:rPr>
      <w:lang w:eastAsia="zh-CN"/>
    </w:rPr>
  </w:style>
  <w:style w:type="paragraph" w:styleId="993">
    <w:name w:val="toc 8"/>
    <w:uiPriority w:val="39"/>
    <w:unhideWhenUsed/>
    <w:pPr>
      <w:ind w:left="1984"/>
      <w:spacing w:after="57"/>
    </w:pPr>
    <w:rPr>
      <w:lang w:eastAsia="zh-CN"/>
    </w:rPr>
  </w:style>
  <w:style w:type="paragraph" w:styleId="994">
    <w:name w:val="toc 9"/>
    <w:uiPriority w:val="39"/>
    <w:unhideWhenUsed/>
    <w:pPr>
      <w:ind w:left="2268"/>
      <w:spacing w:after="57"/>
    </w:pPr>
    <w:rPr>
      <w:lang w:eastAsia="zh-CN"/>
    </w:rPr>
  </w:style>
  <w:style w:type="paragraph" w:styleId="995">
    <w:name w:val="TOC Heading"/>
    <w:uiPriority w:val="39"/>
    <w:unhideWhenUsed/>
    <w:rPr>
      <w:lang w:eastAsia="zh-CN"/>
    </w:rPr>
  </w:style>
  <w:style w:type="paragraph" w:styleId="996">
    <w:name w:val="table of figures"/>
    <w:uiPriority w:val="99"/>
    <w:unhideWhenUsed/>
    <w:rPr>
      <w:lang w:eastAsia="zh-CN"/>
    </w:rPr>
  </w:style>
  <w:style w:type="character" w:styleId="997" w:customStyle="1">
    <w:name w:val="WW8Num1z0"/>
  </w:style>
  <w:style w:type="character" w:styleId="998" w:customStyle="1">
    <w:name w:val="WW8Num1z1"/>
  </w:style>
  <w:style w:type="character" w:styleId="999" w:customStyle="1">
    <w:name w:val="WW8Num1z2"/>
  </w:style>
  <w:style w:type="character" w:styleId="1000" w:customStyle="1">
    <w:name w:val="WW8Num1z3"/>
  </w:style>
  <w:style w:type="character" w:styleId="1001" w:customStyle="1">
    <w:name w:val="WW8Num1z4"/>
  </w:style>
  <w:style w:type="character" w:styleId="1002" w:customStyle="1">
    <w:name w:val="WW8Num1z5"/>
  </w:style>
  <w:style w:type="character" w:styleId="1003" w:customStyle="1">
    <w:name w:val="WW8Num1z6"/>
  </w:style>
  <w:style w:type="character" w:styleId="1004" w:customStyle="1">
    <w:name w:val="WW8Num1z7"/>
  </w:style>
  <w:style w:type="character" w:styleId="1005" w:customStyle="1">
    <w:name w:val="WW8Num1z8"/>
  </w:style>
  <w:style w:type="character" w:styleId="1006" w:customStyle="1">
    <w:name w:val="WW8Num2z0"/>
    <w:rPr>
      <w:rFonts w:ascii="Times New Roman" w:hAnsi="Times New Roman"/>
      <w:sz w:val="28"/>
      <w:szCs w:val="28"/>
    </w:rPr>
  </w:style>
  <w:style w:type="character" w:styleId="1007" w:customStyle="1">
    <w:name w:val="WW8Num2z1"/>
    <w:rPr>
      <w:rFonts w:ascii="Symbol" w:hAnsi="Symbol"/>
    </w:rPr>
  </w:style>
  <w:style w:type="character" w:styleId="1008" w:customStyle="1">
    <w:name w:val="WW8Num2z2"/>
  </w:style>
  <w:style w:type="character" w:styleId="1009" w:customStyle="1">
    <w:name w:val="WW8Num2z3"/>
  </w:style>
  <w:style w:type="character" w:styleId="1010" w:customStyle="1">
    <w:name w:val="WW8Num2z4"/>
  </w:style>
  <w:style w:type="character" w:styleId="1011" w:customStyle="1">
    <w:name w:val="WW8Num2z5"/>
  </w:style>
  <w:style w:type="character" w:styleId="1012" w:customStyle="1">
    <w:name w:val="WW8Num2z6"/>
  </w:style>
  <w:style w:type="character" w:styleId="1013" w:customStyle="1">
    <w:name w:val="WW8Num2z7"/>
  </w:style>
  <w:style w:type="character" w:styleId="1014" w:customStyle="1">
    <w:name w:val="WW8Num2z8"/>
  </w:style>
  <w:style w:type="character" w:styleId="1015" w:customStyle="1">
    <w:name w:val="WW8Num3z0"/>
    <w:rPr>
      <w:rFonts w:ascii="Times New Roman" w:hAnsi="Times New Roman"/>
      <w:sz w:val="28"/>
      <w:szCs w:val="28"/>
    </w:rPr>
  </w:style>
  <w:style w:type="character" w:styleId="1016" w:customStyle="1">
    <w:name w:val="WW8Num4z0"/>
    <w:rPr>
      <w:rFonts w:ascii="Symbol" w:hAnsi="Symbol"/>
    </w:rPr>
  </w:style>
  <w:style w:type="character" w:styleId="1017" w:customStyle="1">
    <w:name w:val="WW8Num4z1"/>
    <w:rPr>
      <w:rFonts w:ascii="Courier New" w:hAnsi="Courier New"/>
    </w:rPr>
  </w:style>
  <w:style w:type="character" w:styleId="1018" w:customStyle="1">
    <w:name w:val="WW8Num4z2"/>
    <w:rPr>
      <w:rFonts w:ascii="Wingdings" w:hAnsi="Wingdings"/>
    </w:rPr>
  </w:style>
  <w:style w:type="character" w:styleId="1019" w:customStyle="1">
    <w:name w:val="Основной шрифт абзаца1"/>
  </w:style>
  <w:style w:type="paragraph" w:styleId="1020">
    <w:name w:val="Body Text"/>
    <w:basedOn w:val="815"/>
    <w:pPr>
      <w:jc w:val="center"/>
    </w:pPr>
    <w:rPr>
      <w:rFonts w:ascii="Arial" w:hAnsi="Arial"/>
    </w:rPr>
  </w:style>
  <w:style w:type="paragraph" w:styleId="1021">
    <w:name w:val="List"/>
    <w:basedOn w:val="1020"/>
  </w:style>
  <w:style w:type="paragraph" w:styleId="1022" w:customStyle="1">
    <w:name w:val="Указатель1"/>
    <w:basedOn w:val="815"/>
    <w:pPr>
      <w:suppressLineNumbers/>
    </w:pPr>
  </w:style>
  <w:style w:type="paragraph" w:styleId="1023" w:customStyle="1">
    <w:name w:val="Содержимое таблицы"/>
    <w:basedOn w:val="815"/>
    <w:pPr>
      <w:suppressLineNumbers/>
    </w:pPr>
  </w:style>
  <w:style w:type="paragraph" w:styleId="1024" w:customStyle="1">
    <w:name w:val="Заголовок таблицы"/>
    <w:basedOn w:val="1023"/>
    <w:pPr>
      <w:jc w:val="center"/>
    </w:pPr>
    <w:rPr>
      <w:b/>
      <w:bCs/>
    </w:rPr>
  </w:style>
  <w:style w:type="paragraph" w:styleId="1025">
    <w:name w:val="Balloon Text"/>
    <w:basedOn w:val="815"/>
    <w:link w:val="1026"/>
    <w:semiHidden/>
    <w:rPr>
      <w:rFonts w:ascii="Tahoma" w:hAnsi="Tahoma"/>
      <w:sz w:val="16"/>
      <w:szCs w:val="16"/>
    </w:rPr>
  </w:style>
  <w:style w:type="character" w:styleId="1026" w:customStyle="1">
    <w:name w:val="Текст выноски Знак"/>
    <w:link w:val="1025"/>
    <w:semiHidden/>
    <w:rPr>
      <w:rFonts w:ascii="Tahoma" w:hAnsi="Tahoma"/>
      <w:sz w:val="16"/>
      <w:szCs w:val="16"/>
      <w:lang w:eastAsia="zh-CN"/>
    </w:rPr>
  </w:style>
  <w:style w:type="paragraph" w:styleId="1027" w:customStyle="1">
    <w:name w:val="Абзац списка;Алроса_маркер (Уровень 4);Маркер;ПАРАГРАФ;Абзац списка2"/>
    <w:basedOn w:val="815"/>
    <w:pPr>
      <w:contextualSpacing/>
      <w:ind w:left="720"/>
    </w:pPr>
    <w:rPr>
      <w:lang w:eastAsia="ru-RU"/>
    </w:rPr>
  </w:style>
  <w:style w:type="character" w:styleId="1028">
    <w:name w:val="annotation reference"/>
    <w:semiHidden/>
    <w:rPr>
      <w:sz w:val="16"/>
      <w:szCs w:val="16"/>
    </w:rPr>
  </w:style>
  <w:style w:type="paragraph" w:styleId="1029">
    <w:name w:val="annotation text"/>
    <w:basedOn w:val="815"/>
    <w:link w:val="1030"/>
  </w:style>
  <w:style w:type="character" w:styleId="1030" w:customStyle="1">
    <w:name w:val="Текст примечания Знак"/>
    <w:link w:val="1029"/>
    <w:rPr>
      <w:lang w:eastAsia="zh-CN"/>
    </w:rPr>
  </w:style>
  <w:style w:type="paragraph" w:styleId="1031">
    <w:name w:val="annotation subject"/>
    <w:basedOn w:val="1029"/>
    <w:next w:val="1029"/>
    <w:link w:val="1032"/>
    <w:semiHidden/>
    <w:rPr>
      <w:b/>
      <w:bCs/>
    </w:rPr>
  </w:style>
  <w:style w:type="character" w:styleId="1032" w:customStyle="1">
    <w:name w:val="Тема примечания Знак"/>
    <w:link w:val="1031"/>
    <w:semiHidden/>
    <w:rPr>
      <w:b/>
      <w:bCs/>
      <w:lang w:eastAsia="zh-CN"/>
    </w:rPr>
  </w:style>
  <w:style w:type="character" w:styleId="1033" w:customStyle="1">
    <w:name w:val="Основной текст (2)_"/>
    <w:rPr>
      <w:rFonts w:ascii="Times New Roman" w:hAnsi="Times New Roman" w:eastAsia="Times New Roman"/>
      <w:u w:val="none"/>
    </w:rPr>
  </w:style>
  <w:style w:type="character" w:styleId="1034" w:customStyle="1">
    <w:name w:val="Основной текст (2)"/>
    <w:rPr>
      <w:rFonts w:ascii="Times New Roman" w:hAnsi="Times New Roman" w:eastAsia="Times New Roman"/>
      <w:color w:val="000000"/>
      <w:spacing w:val="0"/>
      <w:position w:val="0"/>
      <w:sz w:val="24"/>
      <w:szCs w:val="24"/>
      <w:u w:val="none"/>
      <w:lang w:val="ru-RU" w:eastAsia="ru-RU" w:bidi="ru-RU"/>
    </w:rPr>
  </w:style>
  <w:style w:type="character" w:styleId="1035" w:customStyle="1">
    <w:name w:val="Основной текст (2) + 15 pt"/>
    <w:rPr>
      <w:rFonts w:ascii="Times New Roman" w:hAnsi="Times New Roman" w:eastAsia="Times New Roman"/>
      <w:color w:val="000000"/>
      <w:spacing w:val="0"/>
      <w:position w:val="0"/>
      <w:sz w:val="30"/>
      <w:szCs w:val="30"/>
      <w:u w:val="none"/>
      <w:lang w:val="ru-RU" w:eastAsia="ru-RU" w:bidi="ru-RU"/>
    </w:rPr>
  </w:style>
  <w:style w:type="character" w:styleId="1036" w:customStyle="1">
    <w:name w:val="Верхний колонтитул Знак"/>
    <w:link w:val="847"/>
    <w:rPr>
      <w:sz w:val="24"/>
      <w:szCs w:val="24"/>
      <w:lang w:eastAsia="zh-CN"/>
    </w:rPr>
  </w:style>
  <w:style w:type="character" w:styleId="1037" w:customStyle="1">
    <w:name w:val="Нижний колонтитул Знак"/>
    <w:link w:val="849"/>
    <w:rPr>
      <w:sz w:val="24"/>
      <w:szCs w:val="24"/>
      <w:lang w:eastAsia="zh-CN"/>
    </w:rPr>
  </w:style>
  <w:style w:type="character" w:styleId="1038" w:customStyle="1">
    <w:name w:val="Абзац списка Знак"/>
    <w:link w:val="837"/>
    <w:uiPriority w:val="34"/>
    <w:qFormat/>
  </w:style>
  <w:style w:type="paragraph" w:styleId="1039" w:customStyle="1">
    <w:name w:val="ConsPlusNormal"/>
    <w:qFormat/>
    <w:pPr>
      <w:contextualSpacing w:val="0"/>
      <w:ind w:left="0" w:right="0" w:firstLine="72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Arial" w:hAnsi="Arial" w:eastAsia="Tahoma" w:cs="Arial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customXml" Target="../customXml/item1.xml" /><Relationship Id="rId11" Type="http://schemas.openxmlformats.org/officeDocument/2006/relationships/hyperlink" Target="file:///opt/r7-office/desktopeditors/editors/web-apps/apps/documenteditor/main/index.html?_dc=0&amp;lang=ru-RU&amp;frameEditorId=placeholder&amp;parentOrigin=file://#sdfootnote1sym" TargetMode="External"/><Relationship Id="rId12" Type="http://schemas.openxmlformats.org/officeDocument/2006/relationships/hyperlink" Target="file:///opt/r7-office/desktopeditors/editors/web-apps/apps/documenteditor/main/index.html?_dc=0&amp;lang=ru-RU&amp;frameEditorId=placeholder&amp;parentOrigin=file://#sdfootnote2sym" TargetMode="External"/><Relationship Id="rId13" Type="http://schemas.openxmlformats.org/officeDocument/2006/relationships/image" Target="media/image1.jp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Р7-Офис/2025.2.2.832</Application>
  <Company>DVGK</Company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klyuchko_el</cp:lastModifiedBy>
  <cp:revision>76</cp:revision>
  <dcterms:created xsi:type="dcterms:W3CDTF">2023-03-21T05:27:00Z</dcterms:created>
  <dcterms:modified xsi:type="dcterms:W3CDTF">2026-03-25T06:15:41Z</dcterms:modified>
</cp:coreProperties>
</file>